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0"/>
      </w:pPr>
      <w:r>
        <w:rPr>
          <w:rFonts w:ascii="Arial" w:cs="Arial" w:eastAsia="Arial" w:hAnsi="Arial"/>
          <w:b/>
          <w:bCs/>
          <w:color w:val="111827"/>
          <w:sz w:val="44"/>
          <w:szCs w:val="44"/>
        </w:rPr>
        <w:t xml:space="preserve">Cyber-Risikobericht an den</w:t>
      </w:r>
    </w:p>
    <w:p>
      <w:pPr>
        <w:spacing w:after="280"/>
      </w:pPr>
      <w:r>
        <w:rPr>
          <w:rFonts w:ascii="Arial" w:cs="Arial" w:eastAsia="Arial" w:hAnsi="Arial"/>
          <w:b/>
          <w:bCs/>
          <w:color w:val="111827"/>
          <w:sz w:val="44"/>
          <w:szCs w:val="44"/>
        </w:rPr>
        <w:t xml:space="preserve">Verwaltungsrat – CH</w:t>
      </w:r>
    </w:p>
    <w:p>
      <w:pPr>
        <w:spacing w:after="240" w:before="0" w:line="276"/>
      </w:pPr>
      <w:r>
        <w:rPr>
          <w:rFonts w:ascii="Arial" w:cs="Arial" w:eastAsia="Arial" w:hAnsi="Arial"/>
          <w:color w:val="5B6670"/>
          <w:sz w:val="24"/>
          <w:szCs w:val="24"/>
        </w:rPr>
        <w:t xml:space="preserve">Berichte / Board Security Briefing · Vorlage mit Ausfüllhilfe</w:t>
      </w:r>
    </w:p>
    <w:p>
      <w:pPr>
        <w:spacing w:after="40" w:before="0" w:line="276"/>
      </w:pPr>
      <w:r>
        <w:rPr>
          <w:rFonts w:ascii="Arial" w:cs="Arial" w:eastAsia="Arial" w:hAnsi="Arial"/>
          <w:color w:val="5B6670"/>
          <w:sz w:val="16"/>
          <w:szCs w:val="16"/>
        </w:rPr>
        <w:t xml:space="preserve">Dokumenttyp: Bericht (Vorlage)</w:t>
      </w:r>
    </w:p>
    <w:p>
      <w:pPr>
        <w:spacing w:after="40" w:before="0" w:line="276"/>
      </w:pPr>
      <w:r>
        <w:rPr>
          <w:rFonts w:ascii="Arial" w:cs="Arial" w:eastAsia="Arial" w:hAnsi="Arial"/>
          <w:color w:val="5B6670"/>
          <w:sz w:val="16"/>
          <w:szCs w:val="16"/>
        </w:rPr>
        <w:t xml:space="preserve">Version: V1.0 · Status: Published Version · Datum: 09.10.2026</w:t>
      </w:r>
    </w:p>
    <w:p>
      <w:pPr>
        <w:spacing w:after="40" w:before="0" w:line="276"/>
      </w:pPr>
      <w:r>
        <w:rPr>
          <w:rFonts w:ascii="Arial" w:cs="Arial" w:eastAsia="Arial" w:hAnsi="Arial"/>
          <w:color w:val="5B6670"/>
          <w:sz w:val="16"/>
          <w:szCs w:val="16"/>
        </w:rPr>
        <w:t xml:space="preserve">Owner: Martin Bischoff · 4T2 Solutions GmbH</w:t>
      </w:r>
    </w:p>
    <w:p>
      <w:pPr>
        <w:spacing w:after="600" w:before="0" w:line="276"/>
      </w:pPr>
      <w:r>
        <w:rPr>
          <w:rFonts w:ascii="Arial" w:cs="Arial" w:eastAsia="Arial" w:hAnsi="Arial"/>
          <w:color w:val="5B6670"/>
          <w:sz w:val="16"/>
          <w:szCs w:val="16"/>
        </w:rPr>
        <w:t xml:space="preserve">Public · Publizierte Version</w:t>
      </w:r>
    </w:p>
    <w:p>
      <w:pPr>
        <w:jc w:val="center"/>
      </w:pPr>
      <w:r>
        <w:drawing>
          <wp:inline distT="0" distB="0" distL="0" distR="0">
            <wp:extent cx="571500" cy="52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 cy="523875"/>
                    </a:xfrm>
                    <a:prstGeom prst="rect">
                      <a:avLst/>
                    </a:prstGeom>
                  </pic:spPr>
                </pic:pic>
              </a:graphicData>
            </a:graphic>
          </wp:inline>
        </w:drawing>
      </w:r>
    </w:p>
    <w:p>
      <w:r>
        <w:br w:type="page"/>
      </w:r>
    </w:p>
    <w:p>
      <w:pPr>
        <w:pStyle w:val="Heading1"/>
        <w:keepNext/>
        <w:spacing w:after="160" w:before="240"/>
      </w:pPr>
      <w:r>
        <w:rPr>
          <w:rFonts w:ascii="Arial" w:cs="Arial" w:eastAsia="Arial" w:hAnsi="Arial"/>
          <w:b/>
          <w:bCs/>
          <w:color w:val="1F4E79"/>
          <w:sz w:val="30"/>
          <w:szCs w:val="30"/>
        </w:rPr>
        <w:t xml:space="preserve">Dokumentkontrolle</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3000"/>
        <w:gridCol w:w="6026"/>
      </w:tblGrid>
      <w:tr>
        <w:trPr>
          <w:tblHeader/>
        </w:trPr>
        <w:tc>
          <w:tcPr>
            <w:tcW w:type="dxa" w:w="30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Feld</w:t>
            </w:r>
          </w:p>
        </w:tc>
        <w:tc>
          <w:tcPr>
            <w:tcW w:type="dxa" w:w="60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Wert</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Titel</w:t>
            </w:r>
          </w:p>
        </w:tc>
        <w:tc>
          <w:tcPr>
            <w:tcW w:type="dxa" w:w="6026"/>
            <w:tcMar>
              <w:top w:type="dxa" w:w="70"/>
              <w:left w:type="dxa" w:w="100"/>
              <w:bottom w:type="dxa" w:w="70"/>
              <w:right w:type="dxa" w:w="100"/>
            </w:tcMar>
          </w:tcPr>
          <w:p>
            <w:pPr>
              <w:spacing w:after="0" w:line="252"/>
            </w:pPr>
            <w:r>
              <w:rPr>
                <w:rFonts w:ascii="Arial" w:cs="Arial" w:eastAsia="Arial" w:hAnsi="Arial"/>
                <w:color w:val="111827"/>
                <w:sz w:val="17"/>
                <w:szCs w:val="17"/>
              </w:rPr>
              <w:t xml:space="preserve">Cyber-Risikobericht an den Verwaltungsrat – CH</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Dokumentart</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Berichte · Führung · Board Security Briefing</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Gültigkeit</w:t>
            </w:r>
          </w:p>
        </w:tc>
        <w:tc>
          <w:tcPr>
            <w:tcW w:type="dxa" w:w="6026"/>
            <w:tcMar>
              <w:top w:type="dxa" w:w="70"/>
              <w:left w:type="dxa" w:w="100"/>
              <w:bottom w:type="dxa" w:w="70"/>
              <w:right w:type="dxa" w:w="100"/>
            </w:tcMar>
          </w:tcPr>
          <w:p>
            <w:pPr>
              <w:spacing w:after="0" w:line="252"/>
            </w:pPr>
            <w:r>
              <w:rPr>
                <w:rFonts w:ascii="Arial" w:cs="Arial" w:eastAsia="Arial" w:hAnsi="Arial"/>
                <w:color w:val="111827"/>
                <w:sz w:val="17"/>
                <w:szCs w:val="17"/>
              </w:rPr>
              <w:t xml:space="preserve">Unternehmen · Schweiz. Hinweise für FinanzCH und für Deutschland in Abschnitt B6.</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Version</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V1.0</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Status</w:t>
            </w:r>
          </w:p>
        </w:tc>
        <w:tc>
          <w:tcPr>
            <w:tcW w:type="dxa" w:w="6026"/>
            <w:tcMar>
              <w:top w:type="dxa" w:w="70"/>
              <w:left w:type="dxa" w:w="100"/>
              <w:bottom w:type="dxa" w:w="70"/>
              <w:right w:type="dxa" w:w="100"/>
            </w:tcMar>
          </w:tcPr>
          <w:p>
            <w:pPr>
              <w:spacing w:after="0" w:line="252"/>
            </w:pPr>
            <w:r>
              <w:rPr>
                <w:rFonts w:ascii="Arial" w:cs="Arial" w:eastAsia="Arial" w:hAnsi="Arial"/>
                <w:color w:val="111827"/>
                <w:sz w:val="17"/>
                <w:szCs w:val="17"/>
              </w:rPr>
              <w:t xml:space="preserve">Published Version</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Stand</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2026-10-09</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Review</w:t>
            </w:r>
          </w:p>
        </w:tc>
        <w:tc>
          <w:tcPr>
            <w:tcW w:type="dxa" w:w="6026"/>
            <w:tcMar>
              <w:top w:type="dxa" w:w="70"/>
              <w:left w:type="dxa" w:w="100"/>
              <w:bottom w:type="dxa" w:w="70"/>
              <w:right w:type="dxa" w:w="100"/>
            </w:tcMar>
          </w:tcPr>
          <w:p>
            <w:pPr>
              <w:spacing w:after="0" w:line="252"/>
            </w:pPr>
            <w:r>
              <w:rPr>
                <w:rFonts w:ascii="Arial" w:cs="Arial" w:eastAsia="Arial" w:hAnsi="Arial"/>
                <w:color w:val="111827"/>
                <w:sz w:val="17"/>
                <w:szCs w:val="17"/>
              </w:rPr>
              <w:t xml:space="preserve">jährlich sowie bei Änderung von OR, FINMA-Vorgaben oder ISG</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Rechtsraumunterschiede</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Abschnitt B6</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Vertraulichkeit</w:t>
            </w:r>
          </w:p>
        </w:tc>
        <w:tc>
          <w:tcPr>
            <w:tcW w:type="dxa" w:w="6026"/>
            <w:tcMar>
              <w:top w:type="dxa" w:w="70"/>
              <w:left w:type="dxa" w:w="100"/>
              <w:bottom w:type="dxa" w:w="70"/>
              <w:right w:type="dxa" w:w="100"/>
            </w:tcMar>
          </w:tcPr>
          <w:p>
            <w:pPr>
              <w:spacing w:after="0" w:line="252"/>
            </w:pPr>
            <w:r>
              <w:rPr>
                <w:rFonts w:ascii="Arial" w:cs="Arial" w:eastAsia="Arial" w:hAnsi="Arial"/>
                <w:color w:val="111827"/>
                <w:sz w:val="17"/>
                <w:szCs w:val="17"/>
              </w:rPr>
              <w:t xml:space="preserve">Public (die ausgefüllte Fassung ist vertraulich)</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Owner</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Martin Bischoff · 4T2 Solutions GmbH</w:t>
            </w:r>
          </w:p>
        </w:tc>
      </w:tr>
    </w:tbl>
    <w:p>
      <w:pPr>
        <w:spacing w:after="80"/>
      </w:pPr>
    </w:p>
    <w:p>
      <w:pPr>
        <w:pStyle w:val="Heading2"/>
        <w:keepNext/>
        <w:spacing w:after="100" w:before="220"/>
      </w:pPr>
      <w:r>
        <w:rPr>
          <w:rFonts w:ascii="Arial" w:cs="Arial" w:eastAsia="Arial" w:hAnsi="Arial"/>
          <w:b/>
          <w:bCs/>
          <w:color w:val="1F4E79"/>
          <w:sz w:val="24"/>
          <w:szCs w:val="24"/>
        </w:rPr>
        <w:t xml:space="preserve">So verwenden Sie diese Vorlage</w:t>
      </w:r>
    </w:p>
    <w:p>
      <w:pPr>
        <w:spacing w:after="120" w:before="0" w:line="276"/>
      </w:pPr>
      <w:r>
        <w:rPr>
          <w:rFonts w:ascii="Arial" w:cs="Arial" w:eastAsia="Arial" w:hAnsi="Arial"/>
          <w:color w:val="111827"/>
          <w:sz w:val="20"/>
          <w:szCs w:val="20"/>
        </w:rPr>
        <w:t xml:space="preserve">Teil A ist der Bericht selbst. Er ist auf rund zwei Seiten ausgelegt und wird pro Berichtsperiode ausgefüllt. Text in eckigen Klammern ist ein Platzhalter. Teil B erklärt, warum der Bericht so aufgebaut ist, wie Kennzahlen definiert werden und welche Pflichten des Verwaltungsrats er unterstützt. Die zugehörige Excel-Arbeitsmappe enthält den Kennzahlenkatalog und ein ausgefülltes Beispiel.</w:t>
      </w:r>
    </w:p>
    <w:p>
      <w:pPr>
        <w:spacing w:after="120" w:before="0" w:line="276"/>
      </w:pPr>
      <w:r>
        <w:rPr>
          <w:rFonts w:ascii="Arial" w:cs="Arial" w:eastAsia="Arial" w:hAnsi="Arial"/>
          <w:color w:val="111827"/>
          <w:sz w:val="20"/>
          <w:szCs w:val="20"/>
        </w:rPr>
        <w:t xml:space="preserve">Der Bericht ersetzt keine Rechtsberatung. Er strukturiert die Information, auf deren Grundlage der Verwaltungsrat entscheidet und seine Oberaufsicht dokumentiert.</w:t>
      </w:r>
    </w:p>
    <w:p>
      <w:r>
        <w:br w:type="page"/>
      </w:r>
    </w:p>
    <w:p>
      <w:pPr>
        <w:pStyle w:val="Heading1"/>
        <w:keepNext/>
        <w:spacing w:after="160" w:before="240"/>
      </w:pPr>
      <w:r>
        <w:rPr>
          <w:rFonts w:ascii="Arial" w:cs="Arial" w:eastAsia="Arial" w:hAnsi="Arial"/>
          <w:b/>
          <w:bCs/>
          <w:color w:val="1F4E79"/>
          <w:sz w:val="30"/>
          <w:szCs w:val="30"/>
        </w:rPr>
        <w:t xml:space="preserve">Teil A – Bericht</w:t>
      </w:r>
    </w:p>
    <w:p>
      <w:pPr>
        <w:pStyle w:val="Heading2"/>
        <w:keepNext/>
        <w:spacing w:after="100" w:before="220"/>
      </w:pPr>
      <w:r>
        <w:rPr>
          <w:rFonts w:ascii="Arial" w:cs="Arial" w:eastAsia="Arial" w:hAnsi="Arial"/>
          <w:b/>
          <w:bCs/>
          <w:color w:val="1F4E79"/>
          <w:sz w:val="24"/>
          <w:szCs w:val="24"/>
        </w:rPr>
        <w:t xml:space="preserve">A1 Berichtskopf</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3000"/>
        <w:gridCol w:w="6026"/>
      </w:tblGrid>
      <w:tr>
        <w:trPr>
          <w:tblHeader/>
        </w:trPr>
        <w:tc>
          <w:tcPr>
            <w:tcW w:type="dxa" w:w="30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Feld</w:t>
            </w:r>
          </w:p>
        </w:tc>
        <w:tc>
          <w:tcPr>
            <w:tcW w:type="dxa" w:w="60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Eintrag</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Unternehmen</w:t>
            </w:r>
          </w:p>
        </w:tc>
        <w:tc>
          <w:tcPr>
            <w:tcW w:type="dxa" w:w="6026"/>
            <w:tcMar>
              <w:top w:type="dxa" w:w="70"/>
              <w:left w:type="dxa" w:w="100"/>
              <w:bottom w:type="dxa" w:w="70"/>
              <w:right w:type="dxa" w:w="100"/>
            </w:tcMar>
          </w:tcPr>
          <w:p>
            <w:pPr>
              <w:spacing w:after="0" w:line="252"/>
            </w:pPr>
            <w:r>
              <w:rPr>
                <w:rFonts w:ascii="Arial" w:cs="Arial" w:eastAsia="Arial" w:hAnsi="Arial"/>
                <w:color w:val="5B6670"/>
                <w:sz w:val="17"/>
                <w:szCs w:val="17"/>
              </w:rPr>
              <w:t xml:space="preserve">[Unternehmen]</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Berichtsperiode / Stichtag</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[z. B. Q3 2026 / 30.09.2026]</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Adressat</w:t>
            </w:r>
          </w:p>
        </w:tc>
        <w:tc>
          <w:tcPr>
            <w:tcW w:type="dxa" w:w="6026"/>
            <w:tcMar>
              <w:top w:type="dxa" w:w="70"/>
              <w:left w:type="dxa" w:w="100"/>
              <w:bottom w:type="dxa" w:w="70"/>
              <w:right w:type="dxa" w:w="100"/>
            </w:tcMar>
          </w:tcPr>
          <w:p>
            <w:pPr>
              <w:spacing w:after="0" w:line="252"/>
            </w:pPr>
            <w:r>
              <w:rPr>
                <w:rFonts w:ascii="Arial" w:cs="Arial" w:eastAsia="Arial" w:hAnsi="Arial"/>
                <w:color w:val="5B6670"/>
                <w:sz w:val="17"/>
                <w:szCs w:val="17"/>
              </w:rPr>
              <w:t xml:space="preserve">[Verwaltungsrat / Prüfungs- und Risikoausschuss]</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Verfasst von</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[CISO, Name]</w:t>
            </w:r>
          </w:p>
        </w:tc>
      </w:tr>
      <w:tr>
        <w:tc>
          <w:tcPr>
            <w:tcW w:type="dxa" w:w="3000"/>
            <w:tcMar>
              <w:top w:type="dxa" w:w="70"/>
              <w:left w:type="dxa" w:w="100"/>
              <w:bottom w:type="dxa" w:w="70"/>
              <w:right w:type="dxa" w:w="100"/>
            </w:tcMar>
          </w:tcPr>
          <w:p>
            <w:pPr>
              <w:spacing w:after="0" w:line="252"/>
            </w:pPr>
            <w:r>
              <w:rPr>
                <w:rFonts w:ascii="Arial" w:cs="Arial" w:eastAsia="Arial" w:hAnsi="Arial"/>
                <w:color w:val="111827"/>
                <w:sz w:val="17"/>
                <w:szCs w:val="17"/>
              </w:rPr>
              <w:t xml:space="preserve">Freigegeben durch</w:t>
            </w:r>
          </w:p>
        </w:tc>
        <w:tc>
          <w:tcPr>
            <w:tcW w:type="dxa" w:w="6026"/>
            <w:tcMar>
              <w:top w:type="dxa" w:w="70"/>
              <w:left w:type="dxa" w:w="100"/>
              <w:bottom w:type="dxa" w:w="70"/>
              <w:right w:type="dxa" w:w="100"/>
            </w:tcMar>
          </w:tcPr>
          <w:p>
            <w:pPr>
              <w:spacing w:after="0" w:line="252"/>
            </w:pPr>
            <w:r>
              <w:rPr>
                <w:rFonts w:ascii="Arial" w:cs="Arial" w:eastAsia="Arial" w:hAnsi="Arial"/>
                <w:color w:val="5B6670"/>
                <w:sz w:val="17"/>
                <w:szCs w:val="17"/>
              </w:rPr>
              <w:t xml:space="preserve">[Mitglied der Geschäftsleitung]</w:t>
            </w:r>
          </w:p>
        </w:tc>
      </w:tr>
      <w:tr>
        <w:tc>
          <w:tcPr>
            <w:tcW w:type="dxa" w:w="30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Vertraulichkeit</w:t>
            </w:r>
          </w:p>
        </w:tc>
        <w:tc>
          <w:tcPr>
            <w:tcW w:type="dxa" w:w="60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Vertraulich</w:t>
            </w:r>
          </w:p>
        </w:tc>
      </w:tr>
    </w:tbl>
    <w:p>
      <w:pPr>
        <w:pStyle w:val="Heading2"/>
        <w:keepNext/>
        <w:spacing w:after="100" w:before="220"/>
      </w:pPr>
      <w:r>
        <w:rPr>
          <w:rFonts w:ascii="Arial" w:cs="Arial" w:eastAsia="Arial" w:hAnsi="Arial"/>
          <w:b/>
          <w:bCs/>
          <w:color w:val="1F4E79"/>
          <w:sz w:val="24"/>
          <w:szCs w:val="24"/>
        </w:rPr>
        <w:t xml:space="preserve">A2 Gesamtlage auf einen Blick</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2200"/>
        <w:gridCol w:w="6826"/>
      </w:tblGrid>
      <w:tr>
        <w:trPr>
          <w:tblHeader/>
        </w:trPr>
        <w:tc>
          <w:tcPr>
            <w:tcW w:type="dxa" w:w="22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Element</w:t>
            </w:r>
          </w:p>
        </w:tc>
        <w:tc>
          <w:tcPr>
            <w:tcW w:type="dxa" w:w="68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Eintrag</w:t>
            </w:r>
          </w:p>
        </w:tc>
      </w:tr>
      <w:tr>
        <w:tc>
          <w:tcPr>
            <w:tcW w:type="dxa" w:w="2200"/>
            <w:tcMar>
              <w:top w:type="dxa" w:w="70"/>
              <w:left w:type="dxa" w:w="100"/>
              <w:bottom w:type="dxa" w:w="70"/>
              <w:right w:type="dxa" w:w="100"/>
            </w:tcMar>
          </w:tcPr>
          <w:p>
            <w:pPr>
              <w:spacing w:after="0" w:line="252"/>
            </w:pPr>
            <w:r>
              <w:rPr>
                <w:rFonts w:ascii="Arial" w:cs="Arial" w:eastAsia="Arial" w:hAnsi="Arial"/>
                <w:color w:val="111827"/>
                <w:sz w:val="17"/>
                <w:szCs w:val="17"/>
              </w:rPr>
              <w:t xml:space="preserve">Gesamteinschätzung</w:t>
            </w:r>
          </w:p>
        </w:tc>
        <w:tc>
          <w:tcPr>
            <w:tcW w:type="dxa" w:w="6826"/>
            <w:tcMar>
              <w:top w:type="dxa" w:w="70"/>
              <w:left w:type="dxa" w:w="100"/>
              <w:bottom w:type="dxa" w:w="70"/>
              <w:right w:type="dxa" w:w="100"/>
            </w:tcMar>
          </w:tcPr>
          <w:p>
            <w:pPr>
              <w:spacing w:after="0" w:line="252"/>
            </w:pPr>
            <w:r>
              <w:rPr>
                <w:rFonts w:ascii="Arial" w:cs="Arial" w:eastAsia="Arial" w:hAnsi="Arial"/>
                <w:color w:val="5B6670"/>
                <w:sz w:val="17"/>
                <w:szCs w:val="17"/>
              </w:rPr>
              <w:t xml:space="preserve">[Grün / Gelb / Rot] im Vergleich zur genehmigten Risikotoleranz</w:t>
            </w:r>
          </w:p>
        </w:tc>
      </w:tr>
      <w:tr>
        <w:tc>
          <w:tcPr>
            <w:tcW w:type="dxa" w:w="22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Was hat sich verändert?</w:t>
            </w:r>
          </w:p>
        </w:tc>
        <w:tc>
          <w:tcPr>
            <w:tcW w:type="dxa" w:w="68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[ein Satz: wesentliche Veränderung seit dem letzten Bericht]</w:t>
            </w:r>
          </w:p>
        </w:tc>
      </w:tr>
      <w:tr>
        <w:tc>
          <w:tcPr>
            <w:tcW w:type="dxa" w:w="2200"/>
            <w:tcMar>
              <w:top w:type="dxa" w:w="70"/>
              <w:left w:type="dxa" w:w="100"/>
              <w:bottom w:type="dxa" w:w="70"/>
              <w:right w:type="dxa" w:w="100"/>
            </w:tcMar>
          </w:tcPr>
          <w:p>
            <w:pPr>
              <w:spacing w:after="0" w:line="252"/>
            </w:pPr>
            <w:r>
              <w:rPr>
                <w:rFonts w:ascii="Arial" w:cs="Arial" w:eastAsia="Arial" w:hAnsi="Arial"/>
                <w:color w:val="111827"/>
                <w:sz w:val="17"/>
                <w:szCs w:val="17"/>
              </w:rPr>
              <w:t xml:space="preserve">Grösstes Risiko</w:t>
            </w:r>
          </w:p>
        </w:tc>
        <w:tc>
          <w:tcPr>
            <w:tcW w:type="dxa" w:w="6826"/>
            <w:tcMar>
              <w:top w:type="dxa" w:w="70"/>
              <w:left w:type="dxa" w:w="100"/>
              <w:bottom w:type="dxa" w:w="70"/>
              <w:right w:type="dxa" w:w="100"/>
            </w:tcMar>
          </w:tcPr>
          <w:p>
            <w:pPr>
              <w:spacing w:after="0" w:line="252"/>
            </w:pPr>
            <w:r>
              <w:rPr>
                <w:rFonts w:ascii="Arial" w:cs="Arial" w:eastAsia="Arial" w:hAnsi="Arial"/>
                <w:color w:val="5B6670"/>
                <w:sz w:val="17"/>
                <w:szCs w:val="17"/>
              </w:rPr>
              <w:t xml:space="preserve">[ein Satz: Risiko, betroffene Geschäftsleistung, Trend]</w:t>
            </w:r>
          </w:p>
        </w:tc>
      </w:tr>
      <w:tr>
        <w:tc>
          <w:tcPr>
            <w:tcW w:type="dxa" w:w="22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Was soll der VR entscheiden?</w:t>
            </w:r>
          </w:p>
        </w:tc>
        <w:tc>
          <w:tcPr>
            <w:tcW w:type="dxa" w:w="68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[ein Satz: Verweis auf A3]</w:t>
            </w:r>
          </w:p>
        </w:tc>
      </w:tr>
    </w:tbl>
    <w:p>
      <w:pPr>
        <w:pStyle w:val="Heading2"/>
        <w:keepNext/>
        <w:spacing w:after="100" w:before="220"/>
      </w:pPr>
      <w:r>
        <w:rPr>
          <w:rFonts w:ascii="Arial" w:cs="Arial" w:eastAsia="Arial" w:hAnsi="Arial"/>
          <w:b/>
          <w:bCs/>
          <w:color w:val="1F4E79"/>
          <w:sz w:val="24"/>
          <w:szCs w:val="24"/>
        </w:rPr>
        <w:t xml:space="preserve">A3 Erbetene Entscheide</w:t>
      </w:r>
    </w:p>
    <w:p>
      <w:pPr>
        <w:keepNext/>
        <w:spacing w:after="120" w:line="276"/>
      </w:pPr>
      <w:r>
        <w:rPr>
          <w:rFonts w:ascii="Arial" w:cs="Arial" w:eastAsia="Arial" w:hAnsi="Arial"/>
          <w:i/>
          <w:iCs/>
          <w:color w:val="5B6670"/>
          <w:sz w:val="18"/>
          <w:szCs w:val="18"/>
        </w:rPr>
        <w:t xml:space="preserve">Nur Punkte, die der Verwaltungsrat tatsächlich entscheiden muss. Kenntnisnahmen gehören nicht hierher.</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500"/>
        <w:gridCol w:w="2800"/>
        <w:gridCol w:w="2200"/>
        <w:gridCol w:w="2326"/>
        <w:gridCol w:w="1200"/>
      </w:tblGrid>
      <w:tr>
        <w:trPr>
          <w:tblHeader/>
        </w:trPr>
        <w:tc>
          <w:tcPr>
            <w:tcW w:type="dxa" w:w="5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Nr.</w:t>
            </w:r>
          </w:p>
        </w:tc>
        <w:tc>
          <w:tcPr>
            <w:tcW w:type="dxa" w:w="28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Entscheid</w:t>
            </w:r>
          </w:p>
        </w:tc>
        <w:tc>
          <w:tcPr>
            <w:tcW w:type="dxa" w:w="22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Empfehlung</w:t>
            </w:r>
          </w:p>
        </w:tc>
        <w:tc>
          <w:tcPr>
            <w:tcW w:type="dxa" w:w="23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Folge ohne Entscheid</w:t>
            </w:r>
          </w:p>
        </w:tc>
        <w:tc>
          <w:tcPr>
            <w:tcW w:type="dxa" w:w="12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Frist</w:t>
            </w:r>
          </w:p>
        </w:tc>
      </w:tr>
      <w:tr>
        <w:tc>
          <w:tcPr>
            <w:tcW w:type="dxa" w:w="500"/>
            <w:tcMar>
              <w:top w:type="dxa" w:w="70"/>
              <w:left w:type="dxa" w:w="100"/>
              <w:bottom w:type="dxa" w:w="70"/>
              <w:right w:type="dxa" w:w="100"/>
            </w:tcMar>
          </w:tcPr>
          <w:p>
            <w:pPr>
              <w:spacing w:after="0" w:line="252"/>
            </w:pPr>
            <w:r>
              <w:rPr>
                <w:rFonts w:ascii="Arial" w:cs="Arial" w:eastAsia="Arial" w:hAnsi="Arial"/>
                <w:color w:val="111827"/>
                <w:sz w:val="17"/>
                <w:szCs w:val="17"/>
              </w:rPr>
              <w:t xml:space="preserve">1</w:t>
            </w:r>
          </w:p>
        </w:tc>
        <w:tc>
          <w:tcPr>
            <w:tcW w:type="dxa" w:w="2800"/>
            <w:tcMar>
              <w:top w:type="dxa" w:w="70"/>
              <w:left w:type="dxa" w:w="100"/>
              <w:bottom w:type="dxa" w:w="70"/>
              <w:right w:type="dxa" w:w="100"/>
            </w:tcMar>
          </w:tcPr>
          <w:p>
            <w:pPr>
              <w:spacing w:after="0" w:line="252"/>
            </w:pPr>
            <w:r>
              <w:rPr>
                <w:rFonts w:ascii="Arial" w:cs="Arial" w:eastAsia="Arial" w:hAnsi="Arial"/>
                <w:color w:val="5B6670"/>
                <w:sz w:val="17"/>
                <w:szCs w:val="17"/>
              </w:rPr>
              <w:t xml:space="preserve">[z. B. Erhöhung Budget Wiederherstellungstests]</w:t>
            </w:r>
          </w:p>
        </w:tc>
        <w:tc>
          <w:tcPr>
            <w:tcW w:type="dxa" w:w="2200"/>
            <w:tcMar>
              <w:top w:type="dxa" w:w="70"/>
              <w:left w:type="dxa" w:w="100"/>
              <w:bottom w:type="dxa" w:w="70"/>
              <w:right w:type="dxa" w:w="100"/>
            </w:tcMar>
          </w:tcPr>
          <w:p>
            <w:pPr>
              <w:spacing w:after="0" w:line="252"/>
            </w:pPr>
            <w:r>
              <w:rPr>
                <w:rFonts w:ascii="Arial" w:cs="Arial" w:eastAsia="Arial" w:hAnsi="Arial"/>
                <w:color w:val="5B6670"/>
                <w:sz w:val="17"/>
                <w:szCs w:val="17"/>
              </w:rPr>
              <w:t xml:space="preserve">[Option, Kosten]</w:t>
            </w:r>
          </w:p>
        </w:tc>
        <w:tc>
          <w:tcPr>
            <w:tcW w:type="dxa" w:w="2326"/>
            <w:tcMar>
              <w:top w:type="dxa" w:w="70"/>
              <w:left w:type="dxa" w:w="100"/>
              <w:bottom w:type="dxa" w:w="70"/>
              <w:right w:type="dxa" w:w="100"/>
            </w:tcMar>
          </w:tcPr>
          <w:p>
            <w:pPr>
              <w:spacing w:after="0" w:line="252"/>
            </w:pPr>
            <w:r>
              <w:rPr>
                <w:rFonts w:ascii="Arial" w:cs="Arial" w:eastAsia="Arial" w:hAnsi="Arial"/>
                <w:color w:val="5B6670"/>
                <w:sz w:val="17"/>
                <w:szCs w:val="17"/>
              </w:rPr>
              <w:t xml:space="preserve">[Restrisiko, betroffene Leistung]</w:t>
            </w:r>
          </w:p>
        </w:tc>
        <w:tc>
          <w:tcPr>
            <w:tcW w:type="dxa" w:w="1200"/>
            <w:tcMar>
              <w:top w:type="dxa" w:w="70"/>
              <w:left w:type="dxa" w:w="100"/>
              <w:bottom w:type="dxa" w:w="70"/>
              <w:right w:type="dxa" w:w="100"/>
            </w:tcMar>
          </w:tcPr>
          <w:p>
            <w:pPr>
              <w:spacing w:after="0" w:line="252"/>
            </w:pPr>
            <w:r>
              <w:rPr>
                <w:rFonts w:ascii="Arial" w:cs="Arial" w:eastAsia="Arial" w:hAnsi="Arial"/>
                <w:color w:val="5B6670"/>
                <w:sz w:val="17"/>
                <w:szCs w:val="17"/>
              </w:rPr>
              <w:t xml:space="preserve">[Datum]</w:t>
            </w:r>
          </w:p>
        </w:tc>
      </w:tr>
      <w:tr>
        <w:tc>
          <w:tcPr>
            <w:tcW w:type="dxa" w:w="5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2</w:t>
            </w:r>
          </w:p>
        </w:tc>
        <w:tc>
          <w:tcPr>
            <w:tcW w:type="dxa" w:w="28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[z. B. Akzeptanz eines Restrisikos]</w:t>
            </w:r>
          </w:p>
        </w:tc>
        <w:tc>
          <w:tcPr>
            <w:tcW w:type="dxa" w:w="22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[befristet bis …]</w:t>
            </w:r>
          </w:p>
        </w:tc>
        <w:tc>
          <w:tcPr>
            <w:tcW w:type="dxa" w:w="23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2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[Datum]</w:t>
            </w:r>
          </w:p>
        </w:tc>
      </w:tr>
    </w:tbl>
    <w:p>
      <w:pPr>
        <w:pStyle w:val="Heading2"/>
        <w:keepNext/>
        <w:spacing w:after="100" w:before="220"/>
      </w:pPr>
      <w:r>
        <w:rPr>
          <w:rFonts w:ascii="Arial" w:cs="Arial" w:eastAsia="Arial" w:hAnsi="Arial"/>
          <w:b/>
          <w:bCs/>
          <w:color w:val="1F4E79"/>
          <w:sz w:val="24"/>
          <w:szCs w:val="24"/>
        </w:rPr>
        <w:t xml:space="preserve">A4 Top-Risiken</w:t>
      </w:r>
    </w:p>
    <w:p>
      <w:pPr>
        <w:keepNext/>
        <w:spacing w:after="120" w:line="276"/>
      </w:pPr>
      <w:r>
        <w:rPr>
          <w:rFonts w:ascii="Arial" w:cs="Arial" w:eastAsia="Arial" w:hAnsi="Arial"/>
          <w:i/>
          <w:iCs/>
          <w:color w:val="5B6670"/>
          <w:sz w:val="18"/>
          <w:szCs w:val="18"/>
        </w:rPr>
        <w:t xml:space="preserve">Höchstens fünf Risiken, formuliert als Geschäftsauswirkung. Trend: ↑ steigend, → stabil, ↓ sinkend.</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1700"/>
        <w:gridCol w:w="1600"/>
        <w:gridCol w:w="1150"/>
        <w:gridCol w:w="700"/>
        <w:gridCol w:w="1250"/>
        <w:gridCol w:w="1526"/>
        <w:gridCol w:w="1100"/>
      </w:tblGrid>
      <w:tr>
        <w:trPr>
          <w:tblHeader/>
        </w:trPr>
        <w:tc>
          <w:tcPr>
            <w:tcW w:type="dxa" w:w="17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Risiko</w:t>
            </w:r>
          </w:p>
        </w:tc>
        <w:tc>
          <w:tcPr>
            <w:tcW w:type="dxa" w:w="16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Betroffene Leistung</w:t>
            </w:r>
          </w:p>
        </w:tc>
        <w:tc>
          <w:tcPr>
            <w:tcW w:type="dxa" w:w="115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Bewertung</w:t>
            </w:r>
          </w:p>
        </w:tc>
        <w:tc>
          <w:tcPr>
            <w:tcW w:type="dxa" w:w="7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Trend</w:t>
            </w:r>
          </w:p>
        </w:tc>
        <w:tc>
          <w:tcPr>
            <w:tcW w:type="dxa" w:w="125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Risikoeigner</w:t>
            </w:r>
          </w:p>
        </w:tc>
        <w:tc>
          <w:tcPr>
            <w:tcW w:type="dxa" w:w="15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Behandlung / Status</w:t>
            </w:r>
          </w:p>
        </w:tc>
        <w:tc>
          <w:tcPr>
            <w:tcW w:type="dxa" w:w="11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Toleranz</w:t>
            </w:r>
          </w:p>
        </w:tc>
      </w:tr>
      <w:tr>
        <w:tc>
          <w:tcPr>
            <w:tcW w:type="dxa" w:w="1700"/>
            <w:tcMar>
              <w:top w:type="dxa" w:w="70"/>
              <w:left w:type="dxa" w:w="100"/>
              <w:bottom w:type="dxa" w:w="70"/>
              <w:right w:type="dxa" w:w="100"/>
            </w:tcMar>
          </w:tcPr>
          <w:p>
            <w:pPr>
              <w:spacing w:after="0" w:line="252"/>
            </w:pPr>
            <w:r>
              <w:rPr>
                <w:rFonts w:ascii="Arial" w:cs="Arial" w:eastAsia="Arial" w:hAnsi="Arial"/>
                <w:color w:val="5B6670"/>
                <w:sz w:val="17"/>
                <w:szCs w:val="17"/>
              </w:rPr>
              <w:t xml:space="preserve">[z. B. Ransomware verschlüsselt Kernsysteme]</w:t>
            </w:r>
          </w:p>
        </w:tc>
        <w:tc>
          <w:tcPr>
            <w:tcW w:type="dxa" w:w="1600"/>
            <w:tcMar>
              <w:top w:type="dxa" w:w="70"/>
              <w:left w:type="dxa" w:w="100"/>
              <w:bottom w:type="dxa" w:w="70"/>
              <w:right w:type="dxa" w:w="100"/>
            </w:tcMar>
          </w:tcPr>
          <w:p>
            <w:pPr>
              <w:spacing w:after="0" w:line="252"/>
            </w:pPr>
            <w:r>
              <w:rPr>
                <w:rFonts w:ascii="Arial" w:cs="Arial" w:eastAsia="Arial" w:hAnsi="Arial"/>
                <w:color w:val="5B6670"/>
                <w:sz w:val="17"/>
                <w:szCs w:val="17"/>
              </w:rPr>
              <w:t xml:space="preserve">[Zahlungsverkehr]</w:t>
            </w:r>
          </w:p>
        </w:tc>
        <w:tc>
          <w:tcPr>
            <w:tcW w:type="dxa" w:w="1150"/>
            <w:tcMar>
              <w:top w:type="dxa" w:w="70"/>
              <w:left w:type="dxa" w:w="100"/>
              <w:bottom w:type="dxa" w:w="70"/>
              <w:right w:type="dxa" w:w="100"/>
            </w:tcMar>
          </w:tcPr>
          <w:p>
            <w:pPr>
              <w:spacing w:after="0" w:line="252"/>
            </w:pPr>
            <w:r>
              <w:rPr>
                <w:rFonts w:ascii="Arial" w:cs="Arial" w:eastAsia="Arial" w:hAnsi="Arial"/>
                <w:color w:val="5B6670"/>
                <w:sz w:val="17"/>
                <w:szCs w:val="17"/>
              </w:rPr>
              <w:t xml:space="preserve">[hoch]</w:t>
            </w:r>
          </w:p>
        </w:tc>
        <w:tc>
          <w:tcPr>
            <w:tcW w:type="dxa" w:w="7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250"/>
            <w:tcMar>
              <w:top w:type="dxa" w:w="70"/>
              <w:left w:type="dxa" w:w="100"/>
              <w:bottom w:type="dxa" w:w="70"/>
              <w:right w:type="dxa" w:w="100"/>
            </w:tcMar>
          </w:tcPr>
          <w:p>
            <w:pPr>
              <w:spacing w:after="0" w:line="252"/>
            </w:pPr>
            <w:r>
              <w:rPr>
                <w:rFonts w:ascii="Arial" w:cs="Arial" w:eastAsia="Arial" w:hAnsi="Arial"/>
                <w:color w:val="5B6670"/>
                <w:sz w:val="17"/>
                <w:szCs w:val="17"/>
              </w:rPr>
              <w:t xml:space="preserve">[GL-Mitglied]</w:t>
            </w:r>
          </w:p>
        </w:tc>
        <w:tc>
          <w:tcPr>
            <w:tcW w:type="dxa" w:w="1526"/>
            <w:tcMar>
              <w:top w:type="dxa" w:w="70"/>
              <w:left w:type="dxa" w:w="100"/>
              <w:bottom w:type="dxa" w:w="70"/>
              <w:right w:type="dxa" w:w="100"/>
            </w:tcMar>
          </w:tcPr>
          <w:p>
            <w:pPr>
              <w:spacing w:after="0" w:line="252"/>
            </w:pPr>
            <w:r>
              <w:rPr>
                <w:rFonts w:ascii="Arial" w:cs="Arial" w:eastAsia="Arial" w:hAnsi="Arial"/>
                <w:color w:val="5B6670"/>
                <w:sz w:val="17"/>
                <w:szCs w:val="17"/>
              </w:rPr>
              <w:t xml:space="preserve">[Massnahme, Termin]</w:t>
            </w:r>
          </w:p>
        </w:tc>
        <w:tc>
          <w:tcPr>
            <w:tcW w:type="dxa" w:w="1100"/>
            <w:tcMar>
              <w:top w:type="dxa" w:w="70"/>
              <w:left w:type="dxa" w:w="100"/>
              <w:bottom w:type="dxa" w:w="70"/>
              <w:right w:type="dxa" w:w="100"/>
            </w:tcMar>
          </w:tcPr>
          <w:p>
            <w:pPr>
              <w:spacing w:after="0" w:line="252"/>
            </w:pPr>
            <w:r>
              <w:rPr>
                <w:rFonts w:ascii="Arial" w:cs="Arial" w:eastAsia="Arial" w:hAnsi="Arial"/>
                <w:color w:val="5B6670"/>
                <w:sz w:val="17"/>
                <w:szCs w:val="17"/>
              </w:rPr>
              <w:t xml:space="preserve">[in / über]</w:t>
            </w:r>
          </w:p>
        </w:tc>
      </w:tr>
      <w:tr>
        <w:tc>
          <w:tcPr>
            <w:tcW w:type="dxa" w:w="17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6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15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25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5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1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r>
    </w:tbl>
    <w:p>
      <w:pPr>
        <w:pStyle w:val="Heading2"/>
        <w:keepNext/>
        <w:spacing w:after="100" w:before="220"/>
      </w:pPr>
      <w:r>
        <w:rPr>
          <w:rFonts w:ascii="Arial" w:cs="Arial" w:eastAsia="Arial" w:hAnsi="Arial"/>
          <w:b/>
          <w:bCs/>
          <w:color w:val="1F4E79"/>
          <w:sz w:val="24"/>
          <w:szCs w:val="24"/>
        </w:rPr>
        <w:t xml:space="preserve">A5 Kennzahlen</w:t>
      </w:r>
    </w:p>
    <w:p>
      <w:pPr>
        <w:keepNext/>
        <w:spacing w:after="120" w:line="276"/>
      </w:pPr>
      <w:r>
        <w:rPr>
          <w:rFonts w:ascii="Arial" w:cs="Arial" w:eastAsia="Arial" w:hAnsi="Arial"/>
          <w:i/>
          <w:iCs/>
          <w:color w:val="5B6670"/>
          <w:sz w:val="18"/>
          <w:szCs w:val="18"/>
        </w:rPr>
        <w:t xml:space="preserve">Sechs bis acht Kennzahlen mit vorab festgelegten Schwellen. Definitionen im Kennzahlenkatalog der Excel-Arbeitsmappe.</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3400"/>
        <w:gridCol w:w="1100"/>
        <w:gridCol w:w="1400"/>
        <w:gridCol w:w="700"/>
        <w:gridCol w:w="2426"/>
      </w:tblGrid>
      <w:tr>
        <w:trPr>
          <w:tblHeader/>
        </w:trPr>
        <w:tc>
          <w:tcPr>
            <w:tcW w:type="dxa" w:w="34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Kennzahl</w:t>
            </w:r>
          </w:p>
        </w:tc>
        <w:tc>
          <w:tcPr>
            <w:tcW w:type="dxa" w:w="11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Ist</w:t>
            </w:r>
          </w:p>
        </w:tc>
        <w:tc>
          <w:tcPr>
            <w:tcW w:type="dxa" w:w="14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Schwelle</w:t>
            </w:r>
          </w:p>
        </w:tc>
        <w:tc>
          <w:tcPr>
            <w:tcW w:type="dxa" w:w="7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Trend</w:t>
            </w:r>
          </w:p>
        </w:tc>
        <w:tc>
          <w:tcPr>
            <w:tcW w:type="dxa" w:w="24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Kommentar</w:t>
            </w:r>
          </w:p>
        </w:tc>
      </w:tr>
      <w:tr>
        <w:tc>
          <w:tcPr>
            <w:tcW w:type="dxa" w:w="3400"/>
            <w:tcMar>
              <w:top w:type="dxa" w:w="70"/>
              <w:left w:type="dxa" w:w="100"/>
              <w:bottom w:type="dxa" w:w="70"/>
              <w:right w:type="dxa" w:w="100"/>
            </w:tcMar>
          </w:tcPr>
          <w:p>
            <w:pPr>
              <w:spacing w:after="0" w:line="252"/>
            </w:pPr>
            <w:r>
              <w:rPr>
                <w:rFonts w:ascii="Arial" w:cs="Arial" w:eastAsia="Arial" w:hAnsi="Arial"/>
                <w:color w:val="111827"/>
                <w:sz w:val="17"/>
                <w:szCs w:val="17"/>
              </w:rPr>
              <w:t xml:space="preserve">K1 Kritische Schwachstellen auf exponierten Systemen über Behebungsfrist</w:t>
            </w:r>
          </w:p>
        </w:tc>
        <w:tc>
          <w:tcPr>
            <w:tcW w:type="dxa" w:w="1100"/>
            <w:tcMar>
              <w:top w:type="dxa" w:w="70"/>
              <w:left w:type="dxa" w:w="100"/>
              <w:bottom w:type="dxa" w:w="70"/>
              <w:right w:type="dxa" w:w="100"/>
            </w:tcMar>
          </w:tcPr>
          <w:p>
            <w:pPr>
              <w:spacing w:after="0" w:line="252"/>
            </w:pPr>
            <w:r>
              <w:rPr>
                <w:rFonts w:ascii="Arial" w:cs="Arial" w:eastAsia="Arial" w:hAnsi="Arial"/>
                <w:color w:val="5B6670"/>
                <w:sz w:val="17"/>
                <w:szCs w:val="17"/>
              </w:rPr>
              <w:t xml:space="preserve">[Anzahl]</w:t>
            </w:r>
          </w:p>
        </w:tc>
        <w:tc>
          <w:tcPr>
            <w:tcW w:type="dxa" w:w="1400"/>
            <w:tcMar>
              <w:top w:type="dxa" w:w="70"/>
              <w:left w:type="dxa" w:w="100"/>
              <w:bottom w:type="dxa" w:w="70"/>
              <w:right w:type="dxa" w:w="100"/>
            </w:tcMar>
          </w:tcPr>
          <w:p>
            <w:pPr>
              <w:spacing w:after="0" w:line="252"/>
            </w:pPr>
            <w:r>
              <w:rPr>
                <w:rFonts w:ascii="Arial" w:cs="Arial" w:eastAsia="Arial" w:hAnsi="Arial"/>
                <w:color w:val="5B6670"/>
                <w:sz w:val="17"/>
                <w:szCs w:val="17"/>
              </w:rPr>
              <w:t xml:space="preserve">[0]</w:t>
            </w:r>
          </w:p>
        </w:tc>
        <w:tc>
          <w:tcPr>
            <w:tcW w:type="dxa" w:w="700"/>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r>
        <w:tc>
          <w:tcPr>
            <w:tcW w:type="dxa" w:w="34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K2 Phishing-resistente MFA für privilegierte und Fernzugänge</w:t>
            </w:r>
          </w:p>
        </w:tc>
        <w:tc>
          <w:tcPr>
            <w:tcW w:type="dxa" w:w="11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4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[100 %]</w:t>
            </w:r>
          </w:p>
        </w:tc>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r>
        <w:tc>
          <w:tcPr>
            <w:tcW w:type="dxa" w:w="3400"/>
            <w:tcMar>
              <w:top w:type="dxa" w:w="70"/>
              <w:left w:type="dxa" w:w="100"/>
              <w:bottom w:type="dxa" w:w="70"/>
              <w:right w:type="dxa" w:w="100"/>
            </w:tcMar>
          </w:tcPr>
          <w:p>
            <w:pPr>
              <w:spacing w:after="0" w:line="252"/>
            </w:pPr>
            <w:r>
              <w:rPr>
                <w:rFonts w:ascii="Arial" w:cs="Arial" w:eastAsia="Arial" w:hAnsi="Arial"/>
                <w:color w:val="111827"/>
                <w:sz w:val="17"/>
                <w:szCs w:val="17"/>
              </w:rPr>
              <w:t xml:space="preserve">K3 Kritische Services mit erfolgreich getesteter Wiederherstellung innerhalb RTO</w:t>
            </w:r>
          </w:p>
        </w:tc>
        <w:tc>
          <w:tcPr>
            <w:tcW w:type="dxa" w:w="11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400"/>
            <w:tcMar>
              <w:top w:type="dxa" w:w="70"/>
              <w:left w:type="dxa" w:w="100"/>
              <w:bottom w:type="dxa" w:w="70"/>
              <w:right w:type="dxa" w:w="100"/>
            </w:tcMar>
          </w:tcPr>
          <w:p>
            <w:pPr>
              <w:spacing w:after="0" w:line="252"/>
            </w:pPr>
            <w:r>
              <w:rPr>
                <w:rFonts w:ascii="Arial" w:cs="Arial" w:eastAsia="Arial" w:hAnsi="Arial"/>
                <w:color w:val="5B6670"/>
                <w:sz w:val="17"/>
                <w:szCs w:val="17"/>
              </w:rPr>
              <w:t xml:space="preserve">[≥ 90 %]</w:t>
            </w:r>
          </w:p>
        </w:tc>
        <w:tc>
          <w:tcPr>
            <w:tcW w:type="dxa" w:w="700"/>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r>
        <w:tc>
          <w:tcPr>
            <w:tcW w:type="dxa" w:w="34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K4 Meldepflichtige Vorfälle mit fristgerechter Meldung</w:t>
            </w:r>
          </w:p>
        </w:tc>
        <w:tc>
          <w:tcPr>
            <w:tcW w:type="dxa" w:w="11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(n von n)]</w:t>
            </w:r>
          </w:p>
        </w:tc>
        <w:tc>
          <w:tcPr>
            <w:tcW w:type="dxa" w:w="14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[100 %]</w:t>
            </w:r>
          </w:p>
        </w:tc>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r>
        <w:tc>
          <w:tcPr>
            <w:tcW w:type="dxa" w:w="3400"/>
            <w:tcMar>
              <w:top w:type="dxa" w:w="70"/>
              <w:left w:type="dxa" w:w="100"/>
              <w:bottom w:type="dxa" w:w="70"/>
              <w:right w:type="dxa" w:w="100"/>
            </w:tcMar>
          </w:tcPr>
          <w:p>
            <w:pPr>
              <w:spacing w:after="0" w:line="252"/>
            </w:pPr>
            <w:r>
              <w:rPr>
                <w:rFonts w:ascii="Arial" w:cs="Arial" w:eastAsia="Arial" w:hAnsi="Arial"/>
                <w:color w:val="111827"/>
                <w:sz w:val="17"/>
                <w:szCs w:val="17"/>
              </w:rPr>
              <w:t xml:space="preserve">K5 Kritische Dienstleister mit aktueller Sicherheitsbeurteilung</w:t>
            </w:r>
          </w:p>
        </w:tc>
        <w:tc>
          <w:tcPr>
            <w:tcW w:type="dxa" w:w="11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400"/>
            <w:tcMar>
              <w:top w:type="dxa" w:w="70"/>
              <w:left w:type="dxa" w:w="100"/>
              <w:bottom w:type="dxa" w:w="70"/>
              <w:right w:type="dxa" w:w="100"/>
            </w:tcMar>
          </w:tcPr>
          <w:p>
            <w:pPr>
              <w:spacing w:after="0" w:line="252"/>
            </w:pPr>
            <w:r>
              <w:rPr>
                <w:rFonts w:ascii="Arial" w:cs="Arial" w:eastAsia="Arial" w:hAnsi="Arial"/>
                <w:color w:val="5B6670"/>
                <w:sz w:val="17"/>
                <w:szCs w:val="17"/>
              </w:rPr>
              <w:t xml:space="preserve">[≥ 90 %]</w:t>
            </w:r>
          </w:p>
        </w:tc>
        <w:tc>
          <w:tcPr>
            <w:tcW w:type="dxa" w:w="700"/>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r>
        <w:tc>
          <w:tcPr>
            <w:tcW w:type="dxa" w:w="34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K6 Risikoakzeptanzen und Ausnahmen nach Ablaufdatum</w:t>
            </w:r>
          </w:p>
        </w:tc>
        <w:tc>
          <w:tcPr>
            <w:tcW w:type="dxa" w:w="11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[Anzahl]</w:t>
            </w:r>
          </w:p>
        </w:tc>
        <w:tc>
          <w:tcPr>
            <w:tcW w:type="dxa" w:w="14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[0]</w:t>
            </w:r>
          </w:p>
        </w:tc>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r>
        <w:tc>
          <w:tcPr>
            <w:tcW w:type="dxa" w:w="3400"/>
            <w:tcMar>
              <w:top w:type="dxa" w:w="70"/>
              <w:left w:type="dxa" w:w="100"/>
              <w:bottom w:type="dxa" w:w="70"/>
              <w:right w:type="dxa" w:w="100"/>
            </w:tcMar>
          </w:tcPr>
          <w:p>
            <w:pPr>
              <w:spacing w:after="0" w:line="252"/>
            </w:pPr>
            <w:r>
              <w:rPr>
                <w:rFonts w:ascii="Arial" w:cs="Arial" w:eastAsia="Arial" w:hAnsi="Arial"/>
                <w:color w:val="111827"/>
                <w:sz w:val="17"/>
                <w:szCs w:val="17"/>
              </w:rPr>
              <w:t xml:space="preserve">K7 Zeit bis zur Eindämmung wesentlicher Vorfälle (Median)</w:t>
            </w:r>
          </w:p>
        </w:tc>
        <w:tc>
          <w:tcPr>
            <w:tcW w:type="dxa" w:w="1100"/>
            <w:tcMar>
              <w:top w:type="dxa" w:w="70"/>
              <w:left w:type="dxa" w:w="100"/>
              <w:bottom w:type="dxa" w:w="70"/>
              <w:right w:type="dxa" w:w="100"/>
            </w:tcMar>
          </w:tcPr>
          <w:p>
            <w:pPr>
              <w:spacing w:after="0" w:line="252"/>
            </w:pPr>
            <w:r>
              <w:rPr>
                <w:rFonts w:ascii="Arial" w:cs="Arial" w:eastAsia="Arial" w:hAnsi="Arial"/>
                <w:color w:val="5B6670"/>
                <w:sz w:val="17"/>
                <w:szCs w:val="17"/>
              </w:rPr>
              <w:t xml:space="preserve">[Stunden]</w:t>
            </w:r>
          </w:p>
        </w:tc>
        <w:tc>
          <w:tcPr>
            <w:tcW w:type="dxa" w:w="1400"/>
            <w:tcMar>
              <w:top w:type="dxa" w:w="70"/>
              <w:left w:type="dxa" w:w="100"/>
              <w:bottom w:type="dxa" w:w="70"/>
              <w:right w:type="dxa" w:w="100"/>
            </w:tcMar>
          </w:tcPr>
          <w:p>
            <w:pPr>
              <w:spacing w:after="0" w:line="252"/>
            </w:pPr>
            <w:r>
              <w:rPr>
                <w:rFonts w:ascii="Arial" w:cs="Arial" w:eastAsia="Arial" w:hAnsi="Arial"/>
                <w:color w:val="5B6670"/>
                <w:sz w:val="17"/>
                <w:szCs w:val="17"/>
              </w:rPr>
              <w:t xml:space="preserve">[≤ 24 h]</w:t>
            </w:r>
          </w:p>
        </w:tc>
        <w:tc>
          <w:tcPr>
            <w:tcW w:type="dxa" w:w="700"/>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r>
        <w:tc>
          <w:tcPr>
            <w:tcW w:type="dxa" w:w="34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K8 Meilensteine des Sicherheitsprogramms im Plan</w:t>
            </w:r>
          </w:p>
        </w:tc>
        <w:tc>
          <w:tcPr>
            <w:tcW w:type="dxa" w:w="11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14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80 %]</w:t>
            </w:r>
          </w:p>
        </w:tc>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c>
          <w:tcPr>
            <w:tcW w:type="dxa" w:w="24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 ]</w:t>
            </w:r>
          </w:p>
        </w:tc>
      </w:tr>
    </w:tbl>
    <w:p>
      <w:pPr>
        <w:pStyle w:val="Heading2"/>
        <w:keepNext/>
        <w:spacing w:after="100" w:before="220"/>
      </w:pPr>
      <w:r>
        <w:rPr>
          <w:rFonts w:ascii="Arial" w:cs="Arial" w:eastAsia="Arial" w:hAnsi="Arial"/>
          <w:b/>
          <w:bCs/>
          <w:color w:val="1F4E79"/>
          <w:sz w:val="24"/>
          <w:szCs w:val="24"/>
        </w:rPr>
        <w:t xml:space="preserve">A6 Regulatorik und Pflichten</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2000"/>
        <w:gridCol w:w="2200"/>
        <w:gridCol w:w="2400"/>
        <w:gridCol w:w="2426"/>
      </w:tblGrid>
      <w:tr>
        <w:trPr>
          <w:tblHeader/>
        </w:trPr>
        <w:tc>
          <w:tcPr>
            <w:tcW w:type="dxa" w:w="20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Regelwerk</w:t>
            </w:r>
          </w:p>
        </w:tc>
        <w:tc>
          <w:tcPr>
            <w:tcW w:type="dxa" w:w="22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Betroffenheit</w:t>
            </w:r>
          </w:p>
        </w:tc>
        <w:tc>
          <w:tcPr>
            <w:tcW w:type="dxa" w:w="24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Status</w:t>
            </w:r>
          </w:p>
        </w:tc>
        <w:tc>
          <w:tcPr>
            <w:tcW w:type="dxa" w:w="24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Nächste Frist</w:t>
            </w:r>
          </w:p>
        </w:tc>
      </w:tr>
      <w:tr>
        <w:tc>
          <w:tcPr>
            <w:tcW w:type="dxa" w:w="2000"/>
            <w:tcMar>
              <w:top w:type="dxa" w:w="70"/>
              <w:left w:type="dxa" w:w="100"/>
              <w:bottom w:type="dxa" w:w="70"/>
              <w:right w:type="dxa" w:w="100"/>
            </w:tcMar>
          </w:tcPr>
          <w:p>
            <w:pPr>
              <w:spacing w:after="0" w:line="252"/>
            </w:pPr>
            <w:r>
              <w:rPr>
                <w:rFonts w:ascii="Arial" w:cs="Arial" w:eastAsia="Arial" w:hAnsi="Arial"/>
                <w:color w:val="5B6670"/>
                <w:sz w:val="17"/>
                <w:szCs w:val="17"/>
              </w:rPr>
              <w:t xml:space="preserve">[ISG (Meldepflicht)]</w:t>
            </w:r>
          </w:p>
        </w:tc>
        <w:tc>
          <w:tcPr>
            <w:tcW w:type="dxa" w:w="2200"/>
            <w:tcMar>
              <w:top w:type="dxa" w:w="70"/>
              <w:left w:type="dxa" w:w="100"/>
              <w:bottom w:type="dxa" w:w="70"/>
              <w:right w:type="dxa" w:w="100"/>
            </w:tcMar>
          </w:tcPr>
          <w:p>
            <w:pPr>
              <w:spacing w:after="0" w:line="252"/>
            </w:pPr>
            <w:r>
              <w:rPr>
                <w:rFonts w:ascii="Arial" w:cs="Arial" w:eastAsia="Arial" w:hAnsi="Arial"/>
                <w:color w:val="5B6670"/>
                <w:sz w:val="17"/>
                <w:szCs w:val="17"/>
              </w:rPr>
              <w:t xml:space="preserve">[ja / nein, Begründung]</w:t>
            </w:r>
          </w:p>
        </w:tc>
        <w:tc>
          <w:tcPr>
            <w:tcW w:type="dxa" w:w="2400"/>
            <w:tcMar>
              <w:top w:type="dxa" w:w="70"/>
              <w:left w:type="dxa" w:w="100"/>
              <w:bottom w:type="dxa" w:w="70"/>
              <w:right w:type="dxa" w:w="100"/>
            </w:tcMar>
          </w:tcPr>
          <w:p>
            <w:pPr>
              <w:spacing w:after="0" w:line="252"/>
            </w:pPr>
            <w:r>
              <w:rPr>
                <w:rFonts w:ascii="Arial" w:cs="Arial" w:eastAsia="Arial" w:hAnsi="Arial"/>
                <w:color w:val="5B6670"/>
                <w:sz w:val="17"/>
                <w:szCs w:val="17"/>
              </w:rPr>
              <w:t xml:space="preserve">[Meldeprozess getestet am …]</w:t>
            </w:r>
          </w:p>
        </w:tc>
        <w:tc>
          <w:tcPr>
            <w:tcW w:type="dxa" w:w="2426"/>
            <w:tcMar>
              <w:top w:type="dxa" w:w="70"/>
              <w:left w:type="dxa" w:w="100"/>
              <w:bottom w:type="dxa" w:w="70"/>
              <w:right w:type="dxa" w:w="100"/>
            </w:tcMar>
          </w:tcPr>
          <w:p>
            <w:pPr>
              <w:spacing w:after="0" w:line="252"/>
            </w:pPr>
            <w:r>
              <w:rPr>
                <w:rFonts w:ascii="Arial" w:cs="Arial" w:eastAsia="Arial" w:hAnsi="Arial"/>
                <w:color w:val="5B6670"/>
                <w:sz w:val="17"/>
                <w:szCs w:val="17"/>
              </w:rPr>
              <w:t xml:space="preserve">[laufend, 24 h]</w:t>
            </w:r>
          </w:p>
        </w:tc>
      </w:tr>
      <w:tr>
        <w:tc>
          <w:tcPr>
            <w:tcW w:type="dxa" w:w="20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[revDSG]</w:t>
            </w:r>
          </w:p>
        </w:tc>
        <w:tc>
          <w:tcPr>
            <w:tcW w:type="dxa" w:w="22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[ja]</w:t>
            </w:r>
          </w:p>
        </w:tc>
        <w:tc>
          <w:tcPr>
            <w:tcW w:type="dxa" w:w="2400"/>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2426"/>
            <w:shd w:fill="F3F6F8" w:color="auto" w:val="clear"/>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r>
      <w:tr>
        <w:tc>
          <w:tcPr>
            <w:tcW w:type="dxa" w:w="2000"/>
            <w:tcMar>
              <w:top w:type="dxa" w:w="70"/>
              <w:left w:type="dxa" w:w="100"/>
              <w:bottom w:type="dxa" w:w="70"/>
              <w:right w:type="dxa" w:w="100"/>
            </w:tcMar>
          </w:tcPr>
          <w:p>
            <w:pPr>
              <w:spacing w:after="0" w:line="252"/>
            </w:pPr>
            <w:r>
              <w:rPr>
                <w:rFonts w:ascii="Arial" w:cs="Arial" w:eastAsia="Arial" w:hAnsi="Arial"/>
                <w:color w:val="5B6670"/>
                <w:sz w:val="17"/>
                <w:szCs w:val="17"/>
              </w:rPr>
              <w:t xml:space="preserve">[FINMA / DORA / NIS2, falls anwendbar]</w:t>
            </w:r>
          </w:p>
        </w:tc>
        <w:tc>
          <w:tcPr>
            <w:tcW w:type="dxa" w:w="22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24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2426"/>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r>
    </w:tbl>
    <w:p>
      <w:pPr>
        <w:pStyle w:val="Heading2"/>
        <w:keepNext/>
        <w:spacing w:after="100" w:before="220"/>
      </w:pPr>
      <w:r>
        <w:rPr>
          <w:rFonts w:ascii="Arial" w:cs="Arial" w:eastAsia="Arial" w:hAnsi="Arial"/>
          <w:b/>
          <w:bCs/>
          <w:color w:val="1F4E79"/>
          <w:sz w:val="24"/>
          <w:szCs w:val="24"/>
        </w:rPr>
        <w:t xml:space="preserve">A7 Risikoakzeptanzen und Ausnahmen</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2600"/>
        <w:gridCol w:w="2800"/>
        <w:gridCol w:w="2000"/>
        <w:gridCol w:w="1626"/>
      </w:tblGrid>
      <w:tr>
        <w:trPr>
          <w:tblHeader/>
        </w:trPr>
        <w:tc>
          <w:tcPr>
            <w:tcW w:type="dxa" w:w="26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Akzeptiertes Risiko</w:t>
            </w:r>
          </w:p>
        </w:tc>
        <w:tc>
          <w:tcPr>
            <w:tcW w:type="dxa" w:w="28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Begründung</w:t>
            </w:r>
          </w:p>
        </w:tc>
        <w:tc>
          <w:tcPr>
            <w:tcW w:type="dxa" w:w="20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Akzeptiert durch</w:t>
            </w:r>
          </w:p>
        </w:tc>
        <w:tc>
          <w:tcPr>
            <w:tcW w:type="dxa" w:w="16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Gültig bis</w:t>
            </w:r>
          </w:p>
        </w:tc>
      </w:tr>
      <w:tr>
        <w:tc>
          <w:tcPr>
            <w:tcW w:type="dxa" w:w="26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28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2000"/>
            <w:tcMar>
              <w:top w:type="dxa" w:w="70"/>
              <w:left w:type="dxa" w:w="100"/>
              <w:bottom w:type="dxa" w:w="70"/>
              <w:right w:type="dxa" w:w="100"/>
            </w:tcMar>
          </w:tcPr>
          <w:p>
            <w:pPr>
              <w:spacing w:after="0" w:line="252"/>
            </w:pPr>
            <w:r>
              <w:rPr>
                <w:rFonts w:ascii="Arial" w:cs="Arial" w:eastAsia="Arial" w:hAnsi="Arial"/>
                <w:color w:val="5B6670"/>
                <w:sz w:val="17"/>
                <w:szCs w:val="17"/>
              </w:rPr>
              <w:t xml:space="preserve">[Gremium / Person]</w:t>
            </w:r>
          </w:p>
        </w:tc>
        <w:tc>
          <w:tcPr>
            <w:tcW w:type="dxa" w:w="1626"/>
            <w:tcMar>
              <w:top w:type="dxa" w:w="70"/>
              <w:left w:type="dxa" w:w="100"/>
              <w:bottom w:type="dxa" w:w="70"/>
              <w:right w:type="dxa" w:w="100"/>
            </w:tcMar>
          </w:tcPr>
          <w:p>
            <w:pPr>
              <w:spacing w:after="0" w:line="252"/>
            </w:pPr>
            <w:r>
              <w:rPr>
                <w:rFonts w:ascii="Arial" w:cs="Arial" w:eastAsia="Arial" w:hAnsi="Arial"/>
                <w:color w:val="5B6670"/>
                <w:sz w:val="17"/>
                <w:szCs w:val="17"/>
              </w:rPr>
              <w:t xml:space="preserve">[Datum]</w:t>
            </w:r>
          </w:p>
        </w:tc>
      </w:tr>
    </w:tbl>
    <w:p>
      <w:pPr>
        <w:pStyle w:val="Heading2"/>
        <w:keepNext/>
        <w:spacing w:after="100" w:before="220"/>
      </w:pPr>
      <w:r>
        <w:rPr>
          <w:rFonts w:ascii="Arial" w:cs="Arial" w:eastAsia="Arial" w:hAnsi="Arial"/>
          <w:b/>
          <w:bCs/>
          <w:color w:val="1F4E79"/>
          <w:sz w:val="24"/>
          <w:szCs w:val="24"/>
        </w:rPr>
        <w:t xml:space="preserve">A8 Wesentliche Ereignisse seit dem letzten Bericht</w:t>
      </w:r>
    </w:p>
    <w:p>
      <w:pPr>
        <w:keepNext/>
        <w:spacing w:after="120" w:line="276"/>
      </w:pPr>
      <w:r>
        <w:rPr>
          <w:rFonts w:ascii="Arial" w:cs="Arial" w:eastAsia="Arial" w:hAnsi="Arial"/>
          <w:i/>
          <w:iCs/>
          <w:color w:val="5B6670"/>
          <w:sz w:val="18"/>
          <w:szCs w:val="18"/>
        </w:rPr>
        <w:t xml:space="preserve">Vorfälle, Prüfungsfeststellungen, relevante externe Ereignisse (z. B. Angriffe auf Branchenkollegen) – jeweils mit Konsequenz für das Unternehmen.</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1500"/>
        <w:gridCol w:w="4500"/>
        <w:gridCol w:w="3026"/>
      </w:tblGrid>
      <w:tr>
        <w:trPr>
          <w:tblHeader/>
        </w:trPr>
        <w:tc>
          <w:tcPr>
            <w:tcW w:type="dxa" w:w="15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Datum</w:t>
            </w:r>
          </w:p>
        </w:tc>
        <w:tc>
          <w:tcPr>
            <w:tcW w:type="dxa" w:w="45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Ereignis</w:t>
            </w:r>
          </w:p>
        </w:tc>
        <w:tc>
          <w:tcPr>
            <w:tcW w:type="dxa" w:w="30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Konsequenz / Massnahme</w:t>
            </w:r>
          </w:p>
        </w:tc>
      </w:tr>
      <w:tr>
        <w:tc>
          <w:tcPr>
            <w:tcW w:type="dxa" w:w="15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4500"/>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c>
          <w:tcPr>
            <w:tcW w:type="dxa" w:w="3026"/>
            <w:tcMar>
              <w:top w:type="dxa" w:w="70"/>
              <w:left w:type="dxa" w:w="100"/>
              <w:bottom w:type="dxa" w:w="70"/>
              <w:right w:type="dxa" w:w="100"/>
            </w:tcMar>
          </w:tcPr>
          <w:p>
            <w:pPr>
              <w:spacing w:after="0" w:line="252"/>
            </w:pPr>
            <w:r>
              <w:rPr>
                <w:rFonts w:ascii="Arial" w:cs="Arial" w:eastAsia="Arial" w:hAnsi="Arial"/>
                <w:color w:val="5B6670"/>
                <w:sz w:val="17"/>
                <w:szCs w:val="17"/>
              </w:rPr>
              <w:t xml:space="preserve">[…]</w:t>
            </w:r>
          </w:p>
        </w:tc>
      </w:tr>
    </w:tbl>
    <w:p>
      <w:pPr>
        <w:pStyle w:val="Heading2"/>
        <w:keepNext/>
        <w:spacing w:after="100" w:before="220"/>
      </w:pPr>
      <w:r>
        <w:rPr>
          <w:rFonts w:ascii="Arial" w:cs="Arial" w:eastAsia="Arial" w:hAnsi="Arial"/>
          <w:b/>
          <w:bCs/>
          <w:color w:val="1F4E79"/>
          <w:sz w:val="24"/>
          <w:szCs w:val="24"/>
        </w:rPr>
        <w:t xml:space="preserve">A9 Anhänge auf Nachfrage</w:t>
      </w:r>
    </w:p>
    <w:p>
      <w:pPr>
        <w:spacing w:after="120" w:before="0" w:line="276"/>
      </w:pPr>
      <w:r>
        <w:rPr>
          <w:rFonts w:ascii="Arial" w:cs="Arial" w:eastAsia="Arial" w:hAnsi="Arial"/>
          <w:color w:val="5B6670"/>
          <w:sz w:val="20"/>
          <w:szCs w:val="20"/>
        </w:rPr>
        <w:t xml:space="preserve">[Technische Detailberichte, Prüfberichte, Testprotokolle. Sie werden nicht vorgelesen, müssen aber auf Nachfrage verfügbar sein.]</w:t>
      </w:r>
    </w:p>
    <w:p>
      <w:pPr>
        <w:spacing w:before="240"/>
      </w:pPr>
    </w:p>
    <w:p>
      <w:pPr>
        <w:pStyle w:val="Heading1"/>
        <w:keepNext/>
        <w:spacing w:after="160" w:before="240"/>
      </w:pPr>
      <w:r>
        <w:rPr>
          <w:rFonts w:ascii="Arial" w:cs="Arial" w:eastAsia="Arial" w:hAnsi="Arial"/>
          <w:b/>
          <w:bCs/>
          <w:color w:val="1F4E79"/>
          <w:sz w:val="30"/>
          <w:szCs w:val="30"/>
        </w:rPr>
        <w:t xml:space="preserve">Teil B – Ausfüllhilfe</w:t>
      </w:r>
    </w:p>
    <w:p>
      <w:pPr>
        <w:pStyle w:val="Heading2"/>
        <w:keepNext/>
        <w:spacing w:after="100" w:before="220"/>
      </w:pPr>
      <w:r>
        <w:rPr>
          <w:rFonts w:ascii="Arial" w:cs="Arial" w:eastAsia="Arial" w:hAnsi="Arial"/>
          <w:b/>
          <w:bCs/>
          <w:color w:val="1F4E79"/>
          <w:sz w:val="24"/>
          <w:szCs w:val="24"/>
        </w:rPr>
        <w:t xml:space="preserve">B1 Wozu der Bericht dient</w:t>
      </w:r>
    </w:p>
    <w:p>
      <w:pPr>
        <w:spacing w:after="120" w:before="0" w:line="276"/>
      </w:pPr>
      <w:r>
        <w:rPr>
          <w:rFonts w:ascii="Arial" w:cs="Arial" w:eastAsia="Arial" w:hAnsi="Arial"/>
          <w:color w:val="111827"/>
          <w:sz w:val="20"/>
          <w:szCs w:val="20"/>
        </w:rPr>
        <w:t xml:space="preserve">Der Verwaltungsrat einer Aktiengesellschaft hat unübertragbare und unentziehbare Aufgaben, darunter die Oberleitung der Gesellschaft, die Festlegung der Organisation und die Oberaufsicht über die mit der Geschäftsführung betrauten Personen (Art. 716a Abs. 1 OR). Für Schäden aus absichtlicher oder fahrlässiger Verletzung ihrer Pflichten haften die Mitglieder des Verwaltungsrats persönlich (Art. 754 OR). Cyberrisiken sind Teil dieser Verantwortung, soweit sie die Geschäftstätigkeit wesentlich gefährden.</w:t>
      </w:r>
    </w:p>
    <w:p>
      <w:pPr>
        <w:spacing w:after="120" w:before="0" w:line="276"/>
      </w:pPr>
      <w:r>
        <w:rPr>
          <w:rFonts w:ascii="Arial" w:cs="Arial" w:eastAsia="Arial" w:hAnsi="Arial"/>
          <w:color w:val="111827"/>
          <w:sz w:val="20"/>
          <w:szCs w:val="20"/>
        </w:rPr>
        <w:t xml:space="preserve">Gerichte überprüfen Geschäftsentscheide nur zurückhaltend, wenn sie in einem einwandfreien Verfahren, auf angemessener Informationsbasis und frei von Interessenkonflikten getroffen wurden (Business Judgment Rule, vgl. Bundesgericht, Urteil 4A_306/2009 vom 8. Februar 2010, E. 7.2.4). Der Bericht liefert genau diese Informationsbasis und dokumentiert, worüber der Verwaltungsrat entschieden hat.</w:t>
      </w:r>
    </w:p>
    <w:p>
      <w:pPr>
        <w:pStyle w:val="Heading2"/>
        <w:keepNext/>
        <w:spacing w:after="100" w:before="220"/>
      </w:pPr>
      <w:r>
        <w:rPr>
          <w:rFonts w:ascii="Arial" w:cs="Arial" w:eastAsia="Arial" w:hAnsi="Arial"/>
          <w:b/>
          <w:bCs/>
          <w:color w:val="1F4E79"/>
          <w:sz w:val="24"/>
          <w:szCs w:val="24"/>
        </w:rPr>
        <w:t xml:space="preserve">B2 Grundsätze eines guten Board-Berichts</w:t>
      </w:r>
    </w:p>
    <w:p>
      <w:pPr>
        <w:pStyle w:val="ListParagraph"/>
        <w:numPr>
          <w:ilvl w:val="0"/>
          <w:numId w:val="2"/>
        </w:numPr>
        <w:spacing w:after="60" w:line="276"/>
      </w:pPr>
      <w:r>
        <w:rPr>
          <w:rFonts w:ascii="Arial" w:cs="Arial" w:eastAsia="Arial" w:hAnsi="Arial"/>
          <w:color w:val="111827"/>
          <w:sz w:val="20"/>
          <w:szCs w:val="20"/>
        </w:rPr>
        <w:t xml:space="preserve">Entscheidungsorientiert: Er beginnt mit dem, was der Verwaltungsrat entscheiden soll, nicht mit Technik.</w:t>
      </w:r>
    </w:p>
    <w:p>
      <w:pPr>
        <w:pStyle w:val="ListParagraph"/>
        <w:numPr>
          <w:ilvl w:val="0"/>
          <w:numId w:val="2"/>
        </w:numPr>
        <w:spacing w:after="60" w:line="276"/>
      </w:pPr>
      <w:r>
        <w:rPr>
          <w:rFonts w:ascii="Arial" w:cs="Arial" w:eastAsia="Arial" w:hAnsi="Arial"/>
          <w:color w:val="111827"/>
          <w:sz w:val="20"/>
          <w:szCs w:val="20"/>
        </w:rPr>
        <w:t xml:space="preserve">Portfoliosicht: Wenige Risiken mit Geschäftsauswirkung statt einer Liste von Massnahmen.</w:t>
      </w:r>
    </w:p>
    <w:p>
      <w:pPr>
        <w:pStyle w:val="ListParagraph"/>
        <w:numPr>
          <w:ilvl w:val="0"/>
          <w:numId w:val="2"/>
        </w:numPr>
        <w:spacing w:after="60" w:line="276"/>
      </w:pPr>
      <w:r>
        <w:rPr>
          <w:rFonts w:ascii="Arial" w:cs="Arial" w:eastAsia="Arial" w:hAnsi="Arial"/>
          <w:color w:val="111827"/>
          <w:sz w:val="20"/>
          <w:szCs w:val="20"/>
        </w:rPr>
        <w:t xml:space="preserve">Vergleich mit der Risikotoleranz: Jede Aussage zeigt, ob das Risiko innerhalb der genehmigten Toleranz liegt.</w:t>
      </w:r>
    </w:p>
    <w:p>
      <w:pPr>
        <w:pStyle w:val="ListParagraph"/>
        <w:numPr>
          <w:ilvl w:val="0"/>
          <w:numId w:val="2"/>
        </w:numPr>
        <w:spacing w:after="60" w:line="276"/>
      </w:pPr>
      <w:r>
        <w:rPr>
          <w:rFonts w:ascii="Arial" w:cs="Arial" w:eastAsia="Arial" w:hAnsi="Arial"/>
          <w:color w:val="111827"/>
          <w:sz w:val="20"/>
          <w:szCs w:val="20"/>
        </w:rPr>
        <w:t xml:space="preserve">Trends statt Momentaufnahmen: Dieselben Kennzahlen über mehrere Perioden, mit vorab festgelegten Schwellen.</w:t>
      </w:r>
    </w:p>
    <w:p>
      <w:pPr>
        <w:pStyle w:val="ListParagraph"/>
        <w:numPr>
          <w:ilvl w:val="0"/>
          <w:numId w:val="2"/>
        </w:numPr>
        <w:spacing w:after="60" w:line="276"/>
      </w:pPr>
      <w:r>
        <w:rPr>
          <w:rFonts w:ascii="Arial" w:cs="Arial" w:eastAsia="Arial" w:hAnsi="Arial"/>
          <w:color w:val="111827"/>
          <w:sz w:val="20"/>
          <w:szCs w:val="20"/>
        </w:rPr>
        <w:t xml:space="preserve">Belegbarkeit: Jede Zahl hat eine Datenquelle und einen Eigner. Details liegen im Anhang vor.</w:t>
      </w:r>
    </w:p>
    <w:p>
      <w:pPr>
        <w:pStyle w:val="ListParagraph"/>
        <w:numPr>
          <w:ilvl w:val="0"/>
          <w:numId w:val="2"/>
        </w:numPr>
        <w:spacing w:after="60" w:line="276"/>
      </w:pPr>
      <w:r>
        <w:rPr>
          <w:rFonts w:ascii="Arial" w:cs="Arial" w:eastAsia="Arial" w:hAnsi="Arial"/>
          <w:color w:val="111827"/>
          <w:sz w:val="20"/>
          <w:szCs w:val="20"/>
        </w:rPr>
        <w:t xml:space="preserve">Kürze: Zwei Seiten. Was nicht entscheidungsrelevant ist, gehört in den Anhang.</w:t>
      </w:r>
    </w:p>
    <w:p>
      <w:pPr>
        <w:pStyle w:val="Heading2"/>
        <w:keepNext/>
        <w:spacing w:after="100" w:before="220"/>
      </w:pPr>
      <w:r>
        <w:rPr>
          <w:rFonts w:ascii="Arial" w:cs="Arial" w:eastAsia="Arial" w:hAnsi="Arial"/>
          <w:b/>
          <w:bCs/>
          <w:color w:val="1F4E79"/>
          <w:sz w:val="24"/>
          <w:szCs w:val="24"/>
        </w:rPr>
        <w:t xml:space="preserve">B3 Kennzahlen definieren</w:t>
      </w:r>
    </w:p>
    <w:p>
      <w:pPr>
        <w:spacing w:after="120" w:before="0" w:line="276"/>
      </w:pPr>
      <w:r>
        <w:rPr>
          <w:rFonts w:ascii="Arial" w:cs="Arial" w:eastAsia="Arial" w:hAnsi="Arial"/>
          <w:color w:val="111827"/>
          <w:sz w:val="20"/>
          <w:szCs w:val="20"/>
        </w:rPr>
        <w:t xml:space="preserve">Eine Kennzahl ist nur brauchbar, wenn Formel, Datenquelle, Schwelle, Eigner und Frequenz festgelegt sind, bevor der erste Wert berichtet wird. Die Excel-Arbeitsmappe enthält diese Angaben für die acht Kennzahlen aus A5. Passen Sie die Schwellen an Ihre Risikotoleranz an und lassen Sie sie vom Verwaltungsrat genehmigen.</w:t>
      </w:r>
    </w:p>
    <w:tbl>
      <w:tblPr>
        <w:tblW w:type="dxa" w:w="9026"/>
        <w:tblBorders>
          <w:top w:val="single" w:color="C9D3DB" w:sz="4"/>
          <w:left w:val="single" w:color="C9D3DB" w:sz="4"/>
          <w:bottom w:val="single" w:color="C9D3DB" w:sz="4"/>
          <w:right w:val="single" w:color="C9D3DB" w:sz="4"/>
          <w:insideH w:val="single" w:color="C9D3DB" w:sz="4"/>
          <w:insideV w:val="single" w:color="C9D3DB" w:sz="4"/>
        </w:tblBorders>
      </w:tblPr>
      <w:tblGrid>
        <w:gridCol w:w="700"/>
        <w:gridCol w:w="4200"/>
        <w:gridCol w:w="4126"/>
      </w:tblGrid>
      <w:tr>
        <w:trPr>
          <w:tblHeader/>
        </w:trPr>
        <w:tc>
          <w:tcPr>
            <w:tcW w:type="dxa" w:w="7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ID</w:t>
            </w:r>
          </w:p>
        </w:tc>
        <w:tc>
          <w:tcPr>
            <w:tcW w:type="dxa" w:w="4200"/>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Frage, die die Kennzahl beantwortet</w:t>
            </w:r>
          </w:p>
        </w:tc>
        <w:tc>
          <w:tcPr>
            <w:tcW w:type="dxa" w:w="4126"/>
            <w:shd w:fill="1F4E79"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Typische Fehlerquelle</w:t>
            </w:r>
          </w:p>
        </w:tc>
      </w:tr>
      <w:tr>
        <w:tc>
          <w:tcPr>
            <w:tcW w:type="dxa" w:w="700"/>
            <w:tcMar>
              <w:top w:type="dxa" w:w="70"/>
              <w:left w:type="dxa" w:w="100"/>
              <w:bottom w:type="dxa" w:w="70"/>
              <w:right w:type="dxa" w:w="100"/>
            </w:tcMar>
          </w:tcPr>
          <w:p>
            <w:pPr>
              <w:spacing w:after="0" w:line="252"/>
            </w:pPr>
            <w:r>
              <w:rPr>
                <w:rFonts w:ascii="Arial" w:cs="Arial" w:eastAsia="Arial" w:hAnsi="Arial"/>
                <w:color w:val="111827"/>
                <w:sz w:val="17"/>
                <w:szCs w:val="17"/>
              </w:rPr>
              <w:t xml:space="preserve">K1</w:t>
            </w:r>
          </w:p>
        </w:tc>
        <w:tc>
          <w:tcPr>
            <w:tcW w:type="dxa" w:w="4200"/>
            <w:tcMar>
              <w:top w:type="dxa" w:w="70"/>
              <w:left w:type="dxa" w:w="100"/>
              <w:bottom w:type="dxa" w:w="70"/>
              <w:right w:type="dxa" w:w="100"/>
            </w:tcMar>
          </w:tcPr>
          <w:p>
            <w:pPr>
              <w:spacing w:after="0" w:line="252"/>
            </w:pPr>
            <w:r>
              <w:rPr>
                <w:rFonts w:ascii="Arial" w:cs="Arial" w:eastAsia="Arial" w:hAnsi="Arial"/>
                <w:color w:val="111827"/>
                <w:sz w:val="17"/>
                <w:szCs w:val="17"/>
              </w:rPr>
              <w:t xml:space="preserve">Können Angreifer bekannte, kritische Lücken auf erreichbaren Systemen ausnutzen?</w:t>
            </w:r>
          </w:p>
        </w:tc>
        <w:tc>
          <w:tcPr>
            <w:tcW w:type="dxa" w:w="4126"/>
            <w:tcMar>
              <w:top w:type="dxa" w:w="70"/>
              <w:left w:type="dxa" w:w="100"/>
              <w:bottom w:type="dxa" w:w="70"/>
              <w:right w:type="dxa" w:w="100"/>
            </w:tcMar>
          </w:tcPr>
          <w:p>
            <w:pPr>
              <w:spacing w:after="0" w:line="252"/>
            </w:pPr>
            <w:r>
              <w:rPr>
                <w:rFonts w:ascii="Arial" w:cs="Arial" w:eastAsia="Arial" w:hAnsi="Arial"/>
                <w:color w:val="111827"/>
                <w:sz w:val="17"/>
                <w:szCs w:val="17"/>
              </w:rPr>
              <w:t xml:space="preserve">Zählt alle Schwachstellen statt nur exponierte und kritische</w:t>
            </w:r>
          </w:p>
        </w:tc>
      </w:tr>
      <w:tr>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K2</w:t>
            </w:r>
          </w:p>
        </w:tc>
        <w:tc>
          <w:tcPr>
            <w:tcW w:type="dxa" w:w="42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Sind die wichtigsten Zugänge gegen Phishing geschützt?</w:t>
            </w:r>
          </w:p>
        </w:tc>
        <w:tc>
          <w:tcPr>
            <w:tcW w:type="dxa" w:w="41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Zählt SMS- oder App-Codes als phishing-resistent</w:t>
            </w:r>
          </w:p>
        </w:tc>
      </w:tr>
      <w:tr>
        <w:tc>
          <w:tcPr>
            <w:tcW w:type="dxa" w:w="700"/>
            <w:tcMar>
              <w:top w:type="dxa" w:w="70"/>
              <w:left w:type="dxa" w:w="100"/>
              <w:bottom w:type="dxa" w:w="70"/>
              <w:right w:type="dxa" w:w="100"/>
            </w:tcMar>
          </w:tcPr>
          <w:p>
            <w:pPr>
              <w:spacing w:after="0" w:line="252"/>
            </w:pPr>
            <w:r>
              <w:rPr>
                <w:rFonts w:ascii="Arial" w:cs="Arial" w:eastAsia="Arial" w:hAnsi="Arial"/>
                <w:color w:val="111827"/>
                <w:sz w:val="17"/>
                <w:szCs w:val="17"/>
              </w:rPr>
              <w:t xml:space="preserve">K3</w:t>
            </w:r>
          </w:p>
        </w:tc>
        <w:tc>
          <w:tcPr>
            <w:tcW w:type="dxa" w:w="4200"/>
            <w:tcMar>
              <w:top w:type="dxa" w:w="70"/>
              <w:left w:type="dxa" w:w="100"/>
              <w:bottom w:type="dxa" w:w="70"/>
              <w:right w:type="dxa" w:w="100"/>
            </w:tcMar>
          </w:tcPr>
          <w:p>
            <w:pPr>
              <w:spacing w:after="0" w:line="252"/>
            </w:pPr>
            <w:r>
              <w:rPr>
                <w:rFonts w:ascii="Arial" w:cs="Arial" w:eastAsia="Arial" w:hAnsi="Arial"/>
                <w:color w:val="111827"/>
                <w:sz w:val="17"/>
                <w:szCs w:val="17"/>
              </w:rPr>
              <w:t xml:space="preserve">Kommen wir nach einem Angriff rechtzeitig zurück?</w:t>
            </w:r>
          </w:p>
        </w:tc>
        <w:tc>
          <w:tcPr>
            <w:tcW w:type="dxa" w:w="4126"/>
            <w:tcMar>
              <w:top w:type="dxa" w:w="70"/>
              <w:left w:type="dxa" w:w="100"/>
              <w:bottom w:type="dxa" w:w="70"/>
              <w:right w:type="dxa" w:w="100"/>
            </w:tcMar>
          </w:tcPr>
          <w:p>
            <w:pPr>
              <w:spacing w:after="0" w:line="252"/>
            </w:pPr>
            <w:r>
              <w:rPr>
                <w:rFonts w:ascii="Arial" w:cs="Arial" w:eastAsia="Arial" w:hAnsi="Arial"/>
                <w:color w:val="111827"/>
                <w:sz w:val="17"/>
                <w:szCs w:val="17"/>
              </w:rPr>
              <w:t xml:space="preserve">Berichtet erfolgreiche Backups statt getesteter Wiederherstellungen</w:t>
            </w:r>
          </w:p>
        </w:tc>
      </w:tr>
      <w:tr>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K4</w:t>
            </w:r>
          </w:p>
        </w:tc>
        <w:tc>
          <w:tcPr>
            <w:tcW w:type="dxa" w:w="42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Erfüllen wir unsere Meldepflichten?</w:t>
            </w:r>
          </w:p>
        </w:tc>
        <w:tc>
          <w:tcPr>
            <w:tcW w:type="dxa" w:w="41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Erfasst Kenntnis- und Meldezeitpunkt nicht getrennt</w:t>
            </w:r>
          </w:p>
        </w:tc>
      </w:tr>
      <w:tr>
        <w:tc>
          <w:tcPr>
            <w:tcW w:type="dxa" w:w="700"/>
            <w:tcMar>
              <w:top w:type="dxa" w:w="70"/>
              <w:left w:type="dxa" w:w="100"/>
              <w:bottom w:type="dxa" w:w="70"/>
              <w:right w:type="dxa" w:w="100"/>
            </w:tcMar>
          </w:tcPr>
          <w:p>
            <w:pPr>
              <w:spacing w:after="0" w:line="252"/>
            </w:pPr>
            <w:r>
              <w:rPr>
                <w:rFonts w:ascii="Arial" w:cs="Arial" w:eastAsia="Arial" w:hAnsi="Arial"/>
                <w:color w:val="111827"/>
                <w:sz w:val="17"/>
                <w:szCs w:val="17"/>
              </w:rPr>
              <w:t xml:space="preserve">K5</w:t>
            </w:r>
          </w:p>
        </w:tc>
        <w:tc>
          <w:tcPr>
            <w:tcW w:type="dxa" w:w="4200"/>
            <w:tcMar>
              <w:top w:type="dxa" w:w="70"/>
              <w:left w:type="dxa" w:w="100"/>
              <w:bottom w:type="dxa" w:w="70"/>
              <w:right w:type="dxa" w:w="100"/>
            </w:tcMar>
          </w:tcPr>
          <w:p>
            <w:pPr>
              <w:spacing w:after="0" w:line="252"/>
            </w:pPr>
            <w:r>
              <w:rPr>
                <w:rFonts w:ascii="Arial" w:cs="Arial" w:eastAsia="Arial" w:hAnsi="Arial"/>
                <w:color w:val="111827"/>
                <w:sz w:val="17"/>
                <w:szCs w:val="17"/>
              </w:rPr>
              <w:t xml:space="preserve">Kennen wir die Sicherheitslage unserer kritischen Dienstleister?</w:t>
            </w:r>
          </w:p>
        </w:tc>
        <w:tc>
          <w:tcPr>
            <w:tcW w:type="dxa" w:w="4126"/>
            <w:tcMar>
              <w:top w:type="dxa" w:w="70"/>
              <w:left w:type="dxa" w:w="100"/>
              <w:bottom w:type="dxa" w:w="70"/>
              <w:right w:type="dxa" w:w="100"/>
            </w:tcMar>
          </w:tcPr>
          <w:p>
            <w:pPr>
              <w:spacing w:after="0" w:line="252"/>
            </w:pPr>
            <w:r>
              <w:rPr>
                <w:rFonts w:ascii="Arial" w:cs="Arial" w:eastAsia="Arial" w:hAnsi="Arial"/>
                <w:color w:val="111827"/>
                <w:sz w:val="17"/>
                <w:szCs w:val="17"/>
              </w:rPr>
              <w:t xml:space="preserve">Fragebogen ohne Bezug zur Kritikalität</w:t>
            </w:r>
          </w:p>
        </w:tc>
      </w:tr>
      <w:tr>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K6</w:t>
            </w:r>
          </w:p>
        </w:tc>
        <w:tc>
          <w:tcPr>
            <w:tcW w:type="dxa" w:w="42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Sind akzeptierte Risiken noch bewusst akzeptiert?</w:t>
            </w:r>
          </w:p>
        </w:tc>
        <w:tc>
          <w:tcPr>
            <w:tcW w:type="dxa" w:w="41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Ausnahmen ohne Ablaufdatum</w:t>
            </w:r>
          </w:p>
        </w:tc>
      </w:tr>
      <w:tr>
        <w:tc>
          <w:tcPr>
            <w:tcW w:type="dxa" w:w="700"/>
            <w:tcMar>
              <w:top w:type="dxa" w:w="70"/>
              <w:left w:type="dxa" w:w="100"/>
              <w:bottom w:type="dxa" w:w="70"/>
              <w:right w:type="dxa" w:w="100"/>
            </w:tcMar>
          </w:tcPr>
          <w:p>
            <w:pPr>
              <w:spacing w:after="0" w:line="252"/>
            </w:pPr>
            <w:r>
              <w:rPr>
                <w:rFonts w:ascii="Arial" w:cs="Arial" w:eastAsia="Arial" w:hAnsi="Arial"/>
                <w:color w:val="111827"/>
                <w:sz w:val="17"/>
                <w:szCs w:val="17"/>
              </w:rPr>
              <w:t xml:space="preserve">K7</w:t>
            </w:r>
          </w:p>
        </w:tc>
        <w:tc>
          <w:tcPr>
            <w:tcW w:type="dxa" w:w="4200"/>
            <w:tcMar>
              <w:top w:type="dxa" w:w="70"/>
              <w:left w:type="dxa" w:w="100"/>
              <w:bottom w:type="dxa" w:w="70"/>
              <w:right w:type="dxa" w:w="100"/>
            </w:tcMar>
          </w:tcPr>
          <w:p>
            <w:pPr>
              <w:spacing w:after="0" w:line="252"/>
            </w:pPr>
            <w:r>
              <w:rPr>
                <w:rFonts w:ascii="Arial" w:cs="Arial" w:eastAsia="Arial" w:hAnsi="Arial"/>
                <w:color w:val="111827"/>
                <w:sz w:val="17"/>
                <w:szCs w:val="17"/>
              </w:rPr>
              <w:t xml:space="preserve">Wie schnell begrenzen wir Schaden?</w:t>
            </w:r>
          </w:p>
        </w:tc>
        <w:tc>
          <w:tcPr>
            <w:tcW w:type="dxa" w:w="4126"/>
            <w:tcMar>
              <w:top w:type="dxa" w:w="70"/>
              <w:left w:type="dxa" w:w="100"/>
              <w:bottom w:type="dxa" w:w="70"/>
              <w:right w:type="dxa" w:w="100"/>
            </w:tcMar>
          </w:tcPr>
          <w:p>
            <w:pPr>
              <w:spacing w:after="0" w:line="252"/>
            </w:pPr>
            <w:r>
              <w:rPr>
                <w:rFonts w:ascii="Arial" w:cs="Arial" w:eastAsia="Arial" w:hAnsi="Arial"/>
                <w:color w:val="111827"/>
                <w:sz w:val="17"/>
                <w:szCs w:val="17"/>
              </w:rPr>
              <w:t xml:space="preserve">Misst Zeit bis Ticketabschluss statt bis Eindämmung</w:t>
            </w:r>
          </w:p>
        </w:tc>
      </w:tr>
      <w:tr>
        <w:tc>
          <w:tcPr>
            <w:tcW w:type="dxa" w:w="7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K8</w:t>
            </w:r>
          </w:p>
        </w:tc>
        <w:tc>
          <w:tcPr>
            <w:tcW w:type="dxa" w:w="4200"/>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Liefert das Sicherheitsprogramm, was beschlossen wurde?</w:t>
            </w:r>
          </w:p>
        </w:tc>
        <w:tc>
          <w:tcPr>
            <w:tcW w:type="dxa" w:w="4126"/>
            <w:shd w:fill="F3F6F8" w:color="auto" w:val="clear"/>
            <w:tcMar>
              <w:top w:type="dxa" w:w="70"/>
              <w:left w:type="dxa" w:w="100"/>
              <w:bottom w:type="dxa" w:w="70"/>
              <w:right w:type="dxa" w:w="100"/>
            </w:tcMar>
          </w:tcPr>
          <w:p>
            <w:pPr>
              <w:spacing w:after="0" w:line="252"/>
            </w:pPr>
            <w:r>
              <w:rPr>
                <w:rFonts w:ascii="Arial" w:cs="Arial" w:eastAsia="Arial" w:hAnsi="Arial"/>
                <w:color w:val="111827"/>
                <w:sz w:val="17"/>
                <w:szCs w:val="17"/>
              </w:rPr>
              <w:t xml:space="preserve">Meilensteine ohne Wirkungsnachweis</w:t>
            </w:r>
          </w:p>
        </w:tc>
      </w:tr>
    </w:tbl>
    <w:p>
      <w:pPr>
        <w:pStyle w:val="Heading2"/>
        <w:keepNext/>
        <w:spacing w:after="100" w:before="220"/>
      </w:pPr>
      <w:r>
        <w:rPr>
          <w:rFonts w:ascii="Arial" w:cs="Arial" w:eastAsia="Arial" w:hAnsi="Arial"/>
          <w:b/>
          <w:bCs/>
          <w:color w:val="1F4E79"/>
          <w:sz w:val="24"/>
          <w:szCs w:val="24"/>
        </w:rPr>
        <w:t xml:space="preserve">B4 Rhythmus und Gremien</w:t>
      </w:r>
    </w:p>
    <w:p>
      <w:pPr>
        <w:pStyle w:val="ListParagraph"/>
        <w:numPr>
          <w:ilvl w:val="0"/>
          <w:numId w:val="2"/>
        </w:numPr>
        <w:spacing w:after="60" w:line="276"/>
      </w:pPr>
      <w:r>
        <w:rPr>
          <w:rFonts w:ascii="Arial" w:cs="Arial" w:eastAsia="Arial" w:hAnsi="Arial"/>
          <w:color w:val="111827"/>
          <w:sz w:val="20"/>
          <w:szCs w:val="20"/>
        </w:rPr>
        <w:t xml:space="preserve">Verwaltungsrat: mindestens halbjährlich, zusätzlich ad hoc bei wesentlichen Vorfällen.</w:t>
      </w:r>
    </w:p>
    <w:p>
      <w:pPr>
        <w:pStyle w:val="ListParagraph"/>
        <w:numPr>
          <w:ilvl w:val="0"/>
          <w:numId w:val="2"/>
        </w:numPr>
        <w:spacing w:after="60" w:line="276"/>
      </w:pPr>
      <w:r>
        <w:rPr>
          <w:rFonts w:ascii="Arial" w:cs="Arial" w:eastAsia="Arial" w:hAnsi="Arial"/>
          <w:color w:val="111827"/>
          <w:sz w:val="20"/>
          <w:szCs w:val="20"/>
        </w:rPr>
        <w:t xml:space="preserve">Prüfungs- und Risikoausschuss sowie Geschäftsleitung: quartalsweise.</w:t>
      </w:r>
    </w:p>
    <w:p>
      <w:pPr>
        <w:pStyle w:val="ListParagraph"/>
        <w:numPr>
          <w:ilvl w:val="0"/>
          <w:numId w:val="2"/>
        </w:numPr>
        <w:spacing w:after="60" w:line="276"/>
      </w:pPr>
      <w:r>
        <w:rPr>
          <w:rFonts w:ascii="Arial" w:cs="Arial" w:eastAsia="Arial" w:hAnsi="Arial"/>
          <w:color w:val="111827"/>
          <w:sz w:val="20"/>
          <w:szCs w:val="20"/>
        </w:rPr>
        <w:t xml:space="preserve">Ad-hoc-Bericht: bei einem Vorfall, der eine Meldepflicht auslöst oder kritische Geschäftsleistungen unterbricht.</w:t>
      </w:r>
    </w:p>
    <w:p>
      <w:pPr>
        <w:pStyle w:val="Heading2"/>
        <w:keepNext/>
        <w:spacing w:after="100" w:before="220"/>
      </w:pPr>
      <w:r>
        <w:rPr>
          <w:rFonts w:ascii="Arial" w:cs="Arial" w:eastAsia="Arial" w:hAnsi="Arial"/>
          <w:b/>
          <w:bCs/>
          <w:color w:val="1F4E79"/>
          <w:sz w:val="24"/>
          <w:szCs w:val="24"/>
        </w:rPr>
        <w:t xml:space="preserve">B5 Häufige Fehler</w:t>
      </w:r>
    </w:p>
    <w:p>
      <w:pPr>
        <w:pStyle w:val="ListParagraph"/>
        <w:numPr>
          <w:ilvl w:val="0"/>
          <w:numId w:val="3"/>
        </w:numPr>
        <w:spacing w:after="60" w:line="276"/>
      </w:pPr>
      <w:r>
        <w:rPr>
          <w:rFonts w:ascii="Arial" w:cs="Arial" w:eastAsia="Arial" w:hAnsi="Arial"/>
          <w:color w:val="111827"/>
          <w:sz w:val="20"/>
          <w:szCs w:val="20"/>
        </w:rPr>
        <w:t xml:space="preserve">Technische Fülle statt entscheidungsrelevanter Klarheit.</w:t>
      </w:r>
    </w:p>
    <w:p>
      <w:pPr>
        <w:pStyle w:val="ListParagraph"/>
        <w:numPr>
          <w:ilvl w:val="0"/>
          <w:numId w:val="3"/>
        </w:numPr>
        <w:spacing w:after="60" w:line="276"/>
      </w:pPr>
      <w:r>
        <w:rPr>
          <w:rFonts w:ascii="Arial" w:cs="Arial" w:eastAsia="Arial" w:hAnsi="Arial"/>
          <w:color w:val="111827"/>
          <w:sz w:val="20"/>
          <w:szCs w:val="20"/>
        </w:rPr>
        <w:t xml:space="preserve">Ampeln ohne festgelegte Schwellen: Die Farbe wird verhandelt statt gemessen.</w:t>
      </w:r>
    </w:p>
    <w:p>
      <w:pPr>
        <w:pStyle w:val="ListParagraph"/>
        <w:numPr>
          <w:ilvl w:val="0"/>
          <w:numId w:val="3"/>
        </w:numPr>
        <w:spacing w:after="60" w:line="276"/>
      </w:pPr>
      <w:r>
        <w:rPr>
          <w:rFonts w:ascii="Arial" w:cs="Arial" w:eastAsia="Arial" w:hAnsi="Arial"/>
          <w:color w:val="111827"/>
          <w:sz w:val="20"/>
          <w:szCs w:val="20"/>
        </w:rPr>
        <w:t xml:space="preserve">Keine Verbindung zur Risikotoleranz: Der Verwaltungsrat kann nicht erkennen, ob er handeln muss.</w:t>
      </w:r>
    </w:p>
    <w:p>
      <w:pPr>
        <w:pStyle w:val="ListParagraph"/>
        <w:numPr>
          <w:ilvl w:val="0"/>
          <w:numId w:val="3"/>
        </w:numPr>
        <w:spacing w:after="60" w:line="276"/>
      </w:pPr>
      <w:r>
        <w:rPr>
          <w:rFonts w:ascii="Arial" w:cs="Arial" w:eastAsia="Arial" w:hAnsi="Arial"/>
          <w:color w:val="111827"/>
          <w:sz w:val="20"/>
          <w:szCs w:val="20"/>
        </w:rPr>
        <w:t xml:space="preserve">Erbetene Entscheide fehlen oder sind als Kenntnisnahme getarnt.</w:t>
      </w:r>
    </w:p>
    <w:p>
      <w:pPr>
        <w:pStyle w:val="ListParagraph"/>
        <w:numPr>
          <w:ilvl w:val="0"/>
          <w:numId w:val="3"/>
        </w:numPr>
        <w:spacing w:after="60" w:line="276"/>
      </w:pPr>
      <w:r>
        <w:rPr>
          <w:rFonts w:ascii="Arial" w:cs="Arial" w:eastAsia="Arial" w:hAnsi="Arial"/>
          <w:color w:val="111827"/>
          <w:sz w:val="20"/>
          <w:szCs w:val="20"/>
        </w:rPr>
        <w:t xml:space="preserve">Restrisiken werden ohne Befristung und ohne benannte Person akzeptiert.</w:t>
      </w:r>
    </w:p>
    <w:p>
      <w:pPr>
        <w:pStyle w:val="Heading2"/>
        <w:keepNext/>
        <w:spacing w:after="100" w:before="220"/>
      </w:pPr>
      <w:r>
        <w:rPr>
          <w:rFonts w:ascii="Arial" w:cs="Arial" w:eastAsia="Arial" w:hAnsi="Arial"/>
          <w:b/>
          <w:bCs/>
          <w:color w:val="1F4E79"/>
          <w:sz w:val="24"/>
          <w:szCs w:val="24"/>
        </w:rPr>
        <w:t xml:space="preserve">B6 Hinweise für FinanzCH und Deutschland</w:t>
      </w:r>
    </w:p>
    <w:p>
      <w:pPr>
        <w:spacing w:after="120" w:before="0" w:line="276"/>
      </w:pPr>
      <w:r>
        <w:rPr>
          <w:rFonts w:ascii="Arial" w:cs="Arial" w:eastAsia="Arial" w:hAnsi="Arial"/>
          <w:color w:val="111827"/>
          <w:sz w:val="20"/>
          <w:szCs w:val="20"/>
        </w:rPr>
        <w:t xml:space="preserve">FinanzCH (Banken und Wertpapierhäuser): Nach FINMA-Rundschreiben 2023/1 genehmigt das Oberleitungsorgan die Grundzüge des Managements der operationellen Risiken einschliesslich der IKT- und Cyberrisiken und mindestens jährlich die Risikotoleranz für operationelle Risiken. Es genehmigt regelmässig die Strategien für IKT, Cyberrisiken, kritische Daten und BCM sowie mindestens jährlich die kritischen Funktionen und deren Unterbrechungstoleranzen. Zur operationellen Resilienz ist mindestens jährlich sowie bei wesentlichen Kontrollschwächen oder Vorfällen zu berichten. Wesentliche Cyberangriffe sind der FINMA nach Art. 29 Abs. 2 FINMAG zu melden (Aufsichtsmitteilung 05/2020: Information innerhalb von 24 Stunden, Meldung innerhalb von 72 Stunden). Ergänzen Sie A5 um Kennzahlen zu den Unterbrechungstoleranzen und A6 um FINMA.</w:t>
      </w:r>
    </w:p>
    <w:p>
      <w:pPr>
        <w:spacing w:after="120" w:before="0" w:line="276"/>
      </w:pPr>
      <w:r>
        <w:rPr>
          <w:rFonts w:ascii="Arial" w:cs="Arial" w:eastAsia="Arial" w:hAnsi="Arial"/>
          <w:color w:val="111827"/>
          <w:sz w:val="20"/>
          <w:szCs w:val="20"/>
        </w:rPr>
        <w:t xml:space="preserve">Deutschland: Für besonders wichtige und wichtige Einrichtungen verpflichtet § 38 BSIG die Geschäftsleitung, die Risikomanagementmassnahmen umzusetzen, ihre Umsetzung zu überwachen und regelmässig an Schulungen teilzunehmen. Die Haftung richtet sich nach Gesellschaftsrecht. Für Finanzunternehmen im Anwendungsbereich von DORA trägt das Leitungsorgan die Verantwortung für das IKT-Risikomanagement (Art. 5 DORA). Für eine deutsche Gesellschaft ersetzen Vorstand oder Geschäftsführung und Aufsichtsrat die Rolle des Verwaltungsrats; Art. 716a und 754 OR gelten dort nicht.</w:t>
      </w:r>
    </w:p>
    <w:p>
      <w:pPr>
        <w:pStyle w:val="Heading2"/>
        <w:keepNext/>
        <w:spacing w:after="100" w:before="220"/>
      </w:pPr>
      <w:r>
        <w:rPr>
          <w:rFonts w:ascii="Arial" w:cs="Arial" w:eastAsia="Arial" w:hAnsi="Arial"/>
          <w:b/>
          <w:bCs/>
          <w:color w:val="1F4E79"/>
          <w:sz w:val="24"/>
          <w:szCs w:val="24"/>
        </w:rPr>
        <w:t xml:space="preserve">B7 Quellen</w:t>
      </w:r>
    </w:p>
    <w:p>
      <w:pPr>
        <w:pStyle w:val="ListParagraph"/>
        <w:numPr>
          <w:ilvl w:val="0"/>
          <w:numId w:val="2"/>
        </w:numPr>
        <w:spacing w:after="60" w:line="276"/>
      </w:pPr>
      <w:r>
        <w:rPr>
          <w:rFonts w:ascii="Arial" w:cs="Arial" w:eastAsia="Arial" w:hAnsi="Arial"/>
          <w:color w:val="111827"/>
          <w:sz w:val="20"/>
          <w:szCs w:val="20"/>
        </w:rPr>
        <w:t xml:space="preserve">Obligationenrecht, Art. 716a und 754: fedlex.admin.ch/eli/cc/27/317_321_377/de</w:t>
      </w:r>
    </w:p>
    <w:p>
      <w:pPr>
        <w:pStyle w:val="ListParagraph"/>
        <w:numPr>
          <w:ilvl w:val="0"/>
          <w:numId w:val="2"/>
        </w:numPr>
        <w:spacing w:after="60" w:line="276"/>
      </w:pPr>
      <w:r>
        <w:rPr>
          <w:rFonts w:ascii="Arial" w:cs="Arial" w:eastAsia="Arial" w:hAnsi="Arial"/>
          <w:color w:val="111827"/>
          <w:sz w:val="20"/>
          <w:szCs w:val="20"/>
        </w:rPr>
        <w:t xml:space="preserve">FINMA-Rundschreiben 2023/1 «Operationelle Risiken und Resilienz – Banken», in Kraft seit 1. Januar 2024: finma.ch</w:t>
      </w:r>
    </w:p>
    <w:p>
      <w:pPr>
        <w:pStyle w:val="ListParagraph"/>
        <w:numPr>
          <w:ilvl w:val="0"/>
          <w:numId w:val="2"/>
        </w:numPr>
        <w:spacing w:after="60" w:line="276"/>
      </w:pPr>
      <w:r>
        <w:rPr>
          <w:rFonts w:ascii="Arial" w:cs="Arial" w:eastAsia="Arial" w:hAnsi="Arial"/>
          <w:color w:val="111827"/>
          <w:sz w:val="20"/>
          <w:szCs w:val="20"/>
        </w:rPr>
        <w:t xml:space="preserve">FINMA-Aufsichtsmitteilung 05/2020 «Meldepflicht von Cyber-Attacken gemäss Art. 29 Abs. 2 FINMAG»: finma.ch</w:t>
      </w:r>
    </w:p>
    <w:p>
      <w:pPr>
        <w:pStyle w:val="ListParagraph"/>
        <w:numPr>
          <w:ilvl w:val="0"/>
          <w:numId w:val="2"/>
        </w:numPr>
        <w:spacing w:after="60" w:line="276"/>
      </w:pPr>
      <w:r>
        <w:rPr>
          <w:rFonts w:ascii="Arial" w:cs="Arial" w:eastAsia="Arial" w:hAnsi="Arial"/>
          <w:color w:val="111827"/>
          <w:sz w:val="20"/>
          <w:szCs w:val="20"/>
        </w:rPr>
        <w:t xml:space="preserve">Informationssicherheitsgesetz (ISG), Meldepflicht seit 1. April 2025: bacs.admin.ch/de/meldepflicht</w:t>
      </w:r>
    </w:p>
    <w:p>
      <w:pPr>
        <w:pStyle w:val="ListParagraph"/>
        <w:numPr>
          <w:ilvl w:val="0"/>
          <w:numId w:val="2"/>
        </w:numPr>
        <w:spacing w:after="60" w:line="276"/>
      </w:pPr>
      <w:r>
        <w:rPr>
          <w:rFonts w:ascii="Arial" w:cs="Arial" w:eastAsia="Arial" w:hAnsi="Arial"/>
          <w:color w:val="111827"/>
          <w:sz w:val="20"/>
          <w:szCs w:val="20"/>
        </w:rPr>
        <w:t xml:space="preserve">BSI-Gesetz vom 2. Dezember 2025, § 38: gesetze-im-internet.de/bsig_2025/__38.html</w:t>
      </w:r>
    </w:p>
    <w:p>
      <w:pPr>
        <w:pStyle w:val="ListParagraph"/>
        <w:numPr>
          <w:ilvl w:val="0"/>
          <w:numId w:val="2"/>
        </w:numPr>
        <w:spacing w:after="60" w:line="276"/>
      </w:pPr>
      <w:r>
        <w:rPr>
          <w:rFonts w:ascii="Arial" w:cs="Arial" w:eastAsia="Arial" w:hAnsi="Arial"/>
          <w:color w:val="111827"/>
          <w:sz w:val="20"/>
          <w:szCs w:val="20"/>
        </w:rPr>
        <w:t xml:space="preserve">Verordnung (EU) 2022/2554 (DORA), Art. 5: eur-lex.europa.eu/eli/reg/2022/2554/oj</w:t>
      </w:r>
    </w:p>
    <w:p>
      <w:pPr>
        <w:pStyle w:val="ListParagraph"/>
        <w:numPr>
          <w:ilvl w:val="0"/>
          <w:numId w:val="2"/>
        </w:numPr>
        <w:spacing w:after="60" w:line="276"/>
      </w:pPr>
      <w:r>
        <w:rPr>
          <w:rFonts w:ascii="Arial" w:cs="Arial" w:eastAsia="Arial" w:hAnsi="Arial"/>
          <w:color w:val="111827"/>
          <w:sz w:val="20"/>
          <w:szCs w:val="20"/>
        </w:rPr>
        <w:t xml:space="preserve">Bundesgericht, Urteil 4A_306/2009 vom 8. Februar 2010, E. 7.2.4 (Business Judgment Rule)</w:t>
      </w:r>
    </w:p>
    <w:p>
      <w:pPr>
        <w:pStyle w:val="ListParagraph"/>
        <w:numPr>
          <w:ilvl w:val="0"/>
          <w:numId w:val="2"/>
        </w:numPr>
        <w:spacing w:after="60" w:line="276"/>
      </w:pPr>
      <w:r>
        <w:rPr>
          <w:rFonts w:ascii="Arial" w:cs="Arial" w:eastAsia="Arial" w:hAnsi="Arial"/>
          <w:color w:val="111827"/>
          <w:sz w:val="20"/>
          <w:szCs w:val="20"/>
        </w:rPr>
        <w:t xml:space="preserve">Fristenkalender DCH und Glossar: stop.li/werkzeuge/fristenkalender-dch/ · stop.li/werkzeuge/security-glossar/</w:t>
      </w:r>
    </w:p>
    <w:sectPr>
      <w:headerReference w:type="default" r:id="rId7"/>
      <w:headerReference w:type="first" r:id="rId8"/>
      <w:footerReference w:type="default" r:id="rId9"/>
      <w:footerReference w:type="first" r:id="rId10"/>
      <w:pgSz w:w="11906" w:h="16838" w:orient="portrait"/>
      <w:pgMar w:top="1418" w:right="1440" w:bottom="1418"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B6670"/>
        <w:sz w:val="14"/>
        <w:szCs w:val="14"/>
      </w:rPr>
      <w:t xml:space="preserve">4T2 Solutions GmbH · Wildensteinstr. 10 · 9404 Rorschacherberg · Public · Seite </w:t>
    </w:r>
    <w:r>
      <w:rPr>
        <w:rFonts w:ascii="Arial" w:cs="Arial" w:eastAsia="Arial" w:hAnsi="Arial"/>
        <w:color w:val="5B6670"/>
        <w:sz w:val="14"/>
        <w:szCs w:val="14"/>
      </w:rPr>
      <w:fldChar w:fldCharType="begin"/>
      <w:instrText xml:space="preserve">PAGE</w:instrText>
      <w:fldChar w:fldCharType="separate"/>
      <w:fldChar w:fldCharType="end"/>
    </w:r>
    <w:r>
      <w:rPr>
        <w:rFonts w:ascii="Arial" w:cs="Arial" w:eastAsia="Arial" w:hAnsi="Arial"/>
        <w:color w:val="5B6670"/>
        <w:sz w:val="14"/>
        <w:szCs w:val="14"/>
      </w:rPr>
      <w:t xml:space="preserve"> von </w:t>
    </w:r>
    <w:r>
      <w:rPr>
        <w:rFonts w:ascii="Arial" w:cs="Arial" w:eastAsia="Arial" w:hAnsi="Arial"/>
        <w:color w:val="5B6670"/>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rFonts w:ascii="Arial" w:cs="Arial" w:eastAsia="Arial" w:hAnsi="Arial"/>
        <w:b/>
        <w:bCs/>
        <w:color w:val="111827"/>
        <w:sz w:val="14"/>
        <w:szCs w:val="14"/>
      </w:rPr>
      <w:t xml:space="preserve">Cyber-Risikobericht an den Verwaltungsrat – CH</w:t>
    </w:r>
    <w:r>
      <w:rPr>
        <w:rFonts w:ascii="Arial" w:cs="Arial" w:eastAsia="Arial" w:hAnsi="Arial"/>
      </w:rPr>
      <w:t xml:space="preserve">	</w:t>
    </w:r>
    <w:r>
      <w:drawing>
        <wp:inline distT="0" distB="0" distL="0" distR="0">
          <wp:extent cx="24765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286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82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201b8b7a9dc57f299ebfeb6c4ff3d3c2d67de62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01b8b7a9dc57f299ebfeb6c4ff3d3c2d67de62e.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Cyber-Risikobericht an den Verwaltungsrat – CH</dc:title>
  <dc:creator>Martin Bischoff · 4T2 Solutions GmbH</dc:creator>
  <dc:description>Vorlage mit Ausfüllhilfe für den Cyber-Risikobericht an den Verwaltungsrat (Schweiz)</dc:description>
  <cp:lastModifiedBy>Un-named</cp:lastModifiedBy>
  <cp:revision>1</cp:revision>
  <dcterms:created xsi:type="dcterms:W3CDTF">2026-10-09T18:42:35.460Z</dcterms:created>
  <dcterms:modified xsi:type="dcterms:W3CDTF">2026-10-09T18:42:35.461Z</dcterms:modified>
</cp:coreProperties>
</file>

<file path=docProps/custom.xml><?xml version="1.0" encoding="utf-8"?>
<Properties xmlns="http://schemas.openxmlformats.org/officeDocument/2006/custom-properties" xmlns:vt="http://schemas.openxmlformats.org/officeDocument/2006/docPropsVTypes"/>
</file>